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39" w:rsidRDefault="00393E39" w:rsidP="00325988">
      <w:pPr>
        <w:pStyle w:val="rvps1"/>
        <w:shd w:val="clear" w:color="auto" w:fill="FFFFFF"/>
        <w:rPr>
          <w:rStyle w:val="rvts7"/>
        </w:rPr>
      </w:pPr>
      <w:bookmarkStart w:id="0" w:name="1532218"/>
      <w:bookmarkEnd w:id="0"/>
    </w:p>
    <w:p w:rsidR="00393E39" w:rsidRDefault="00393E39" w:rsidP="00325988">
      <w:pPr>
        <w:pStyle w:val="rvps1"/>
        <w:shd w:val="clear" w:color="auto" w:fill="FFFFFF"/>
        <w:rPr>
          <w:rStyle w:val="rvts7"/>
        </w:rPr>
      </w:pPr>
    </w:p>
    <w:p w:rsidR="00CD5567" w:rsidRPr="00325988" w:rsidRDefault="00CD5567" w:rsidP="00325988">
      <w:pPr>
        <w:pStyle w:val="rvps1"/>
        <w:shd w:val="clear" w:color="auto" w:fill="FFFFFF"/>
      </w:pPr>
      <w:r w:rsidRPr="00325988">
        <w:rPr>
          <w:rStyle w:val="rvts7"/>
        </w:rPr>
        <w:t>HOTĂRÂRE Nr. 1.136</w:t>
      </w:r>
      <w:r w:rsidR="009816DA">
        <w:rPr>
          <w:rStyle w:val="rvts7"/>
        </w:rPr>
        <w:t xml:space="preserve"> </w:t>
      </w:r>
      <w:r w:rsidRPr="00325988">
        <w:rPr>
          <w:rStyle w:val="rvts7"/>
        </w:rPr>
        <w:t>din 30 august 2006</w:t>
      </w:r>
    </w:p>
    <w:p w:rsidR="00CD5567" w:rsidRPr="00325988" w:rsidRDefault="00CD5567" w:rsidP="00325988">
      <w:pPr>
        <w:pStyle w:val="rvps1"/>
        <w:shd w:val="clear" w:color="auto" w:fill="FFFFFF"/>
      </w:pPr>
    </w:p>
    <w:p w:rsidR="00CD5567" w:rsidRPr="00325988" w:rsidRDefault="00CD5567" w:rsidP="00325988">
      <w:pPr>
        <w:pStyle w:val="rvps1"/>
        <w:shd w:val="clear" w:color="auto" w:fill="FFFFFF"/>
      </w:pPr>
      <w:proofErr w:type="gramStart"/>
      <w:r w:rsidRPr="00325988">
        <w:rPr>
          <w:rStyle w:val="rvts8"/>
          <w:color w:val="auto"/>
        </w:rPr>
        <w:t>privind</w:t>
      </w:r>
      <w:proofErr w:type="gramEnd"/>
      <w:r w:rsidRPr="00325988">
        <w:rPr>
          <w:rStyle w:val="rvts8"/>
          <w:color w:val="auto"/>
        </w:rPr>
        <w:t xml:space="preserve"> cerinţele minime de securitate şi sănătate referitoare la expunerea lucrătorilor la riscuri generate de câmpuri electromagnetice</w:t>
      </w:r>
    </w:p>
    <w:p w:rsidR="00CD5567" w:rsidRPr="00325988" w:rsidRDefault="00CD5567" w:rsidP="00325988">
      <w:pPr>
        <w:pStyle w:val="rvps1"/>
        <w:shd w:val="clear" w:color="auto" w:fill="FFFFFF"/>
        <w:jc w:val="both"/>
      </w:pPr>
    </w:p>
    <w:p w:rsidR="00CD5567" w:rsidRDefault="00CD5567" w:rsidP="00325988">
      <w:pPr>
        <w:pStyle w:val="NormalWeb"/>
        <w:shd w:val="clear" w:color="auto" w:fill="FFFFFF"/>
        <w:jc w:val="both"/>
      </w:pPr>
    </w:p>
    <w:p w:rsidR="00393E39" w:rsidRPr="00325988" w:rsidRDefault="00393E39" w:rsidP="00325988">
      <w:pPr>
        <w:pStyle w:val="NormalWeb"/>
        <w:shd w:val="clear" w:color="auto" w:fill="FFFFFF"/>
        <w:jc w:val="both"/>
      </w:pPr>
      <w:bookmarkStart w:id="1" w:name="_GoBack"/>
      <w:bookmarkEnd w:id="1"/>
    </w:p>
    <w:p w:rsidR="00CD5567" w:rsidRPr="00325988" w:rsidRDefault="00CD5567" w:rsidP="00325988">
      <w:pPr>
        <w:pStyle w:val="NormalWeb"/>
        <w:shd w:val="clear" w:color="auto" w:fill="FFFFFF"/>
        <w:jc w:val="both"/>
      </w:pPr>
      <w:bookmarkStart w:id="2" w:name="1532219"/>
      <w:bookmarkEnd w:id="2"/>
      <w:r w:rsidRPr="00325988">
        <w:rPr>
          <w:rStyle w:val="rvts9"/>
        </w:rPr>
        <w:t>    Cap. I</w:t>
      </w:r>
      <w:r w:rsidRPr="00325988">
        <w:rPr>
          <w:rStyle w:val="rvts10"/>
          <w:color w:val="auto"/>
        </w:rPr>
        <w:t>    </w:t>
      </w:r>
      <w:r w:rsidRPr="00325988">
        <w:rPr>
          <w:rStyle w:val="rvts11"/>
          <w:color w:val="auto"/>
        </w:rPr>
        <w:t>Dispoziţii generale</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3" w:name="1532220"/>
      <w:bookmarkEnd w:id="3"/>
      <w:r w:rsidRPr="00325988">
        <w:rPr>
          <w:rStyle w:val="rvts9"/>
        </w:rPr>
        <w:t>    </w:t>
      </w:r>
      <w:r w:rsidRPr="00325988">
        <w:rPr>
          <w:rStyle w:val="rvts12"/>
        </w:rPr>
        <w:t>Secţiunea 1</w:t>
      </w:r>
      <w:r w:rsidRPr="00325988">
        <w:rPr>
          <w:rStyle w:val="rvts10"/>
          <w:color w:val="auto"/>
        </w:rPr>
        <w:t>    </w:t>
      </w:r>
      <w:r w:rsidRPr="00325988">
        <w:rPr>
          <w:rStyle w:val="rvts13"/>
          <w:color w:val="auto"/>
        </w:rPr>
        <w:t>Obiectivul şi domeniul de aplicare</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4" w:name="1532221"/>
      <w:bookmarkEnd w:id="4"/>
      <w:r w:rsidRPr="00325988">
        <w:rPr>
          <w:rStyle w:val="rvts9"/>
        </w:rPr>
        <w:t>    Art. 1</w:t>
      </w:r>
      <w:r w:rsidRPr="00325988">
        <w:rPr>
          <w:rStyle w:val="rvts14"/>
        </w:rPr>
        <w:t> - </w:t>
      </w:r>
      <w:r w:rsidRPr="00325988">
        <w:rPr>
          <w:rStyle w:val="rvts10"/>
          <w:color w:val="auto"/>
        </w:rPr>
        <w:t>Prezenta hotărâre stabileşte cerinţele minime pentru protecţia lucrătorilor împotriva riscurilor pentru sănătatea şi securitatea lor, generate sau care pot fi generate de expunerea la câmpuri electromagnetice de la 0 Hz la 300 GHz, în timpul lucrului.</w:t>
      </w:r>
    </w:p>
    <w:p w:rsidR="00CD5567" w:rsidRPr="00325988" w:rsidRDefault="00CD5567" w:rsidP="00325988">
      <w:pPr>
        <w:pStyle w:val="NormalWeb"/>
        <w:shd w:val="clear" w:color="auto" w:fill="FFFFFF"/>
        <w:jc w:val="both"/>
      </w:pPr>
      <w:bookmarkStart w:id="5" w:name="1532222"/>
      <w:bookmarkEnd w:id="5"/>
      <w:r w:rsidRPr="00325988">
        <w:rPr>
          <w:rStyle w:val="rvts9"/>
        </w:rPr>
        <w:t>    Art. 2</w:t>
      </w:r>
      <w:r w:rsidRPr="00325988">
        <w:rPr>
          <w:rStyle w:val="rvts14"/>
        </w:rPr>
        <w:t> - </w:t>
      </w:r>
      <w:r w:rsidRPr="00325988">
        <w:rPr>
          <w:rStyle w:val="rvts10"/>
          <w:color w:val="auto"/>
        </w:rPr>
        <w:t>(1) Prezenta hotărâre se referă la riscurile pentru sănătatea şi securitatea lucrătorilor datorate efectelor recunoscute ca nocive pe termen scurt asupra corpului uman, provocate de circulaţia curenţilor induşi şi de absorbţia de energie, precum şi de curenţii de contact.</w:t>
      </w:r>
    </w:p>
    <w:p w:rsidR="00CD5567" w:rsidRPr="00325988" w:rsidRDefault="00CD5567" w:rsidP="00325988">
      <w:pPr>
        <w:pStyle w:val="NormalWeb"/>
        <w:shd w:val="clear" w:color="auto" w:fill="FFFFFF"/>
        <w:jc w:val="both"/>
      </w:pPr>
      <w:r w:rsidRPr="00325988">
        <w:rPr>
          <w:rStyle w:val="rvts10"/>
          <w:color w:val="auto"/>
        </w:rPr>
        <w:t>    (2) Prezenta hotărâre nu vizează posibilele efecte pe termen lung.</w:t>
      </w:r>
    </w:p>
    <w:p w:rsidR="00CD5567" w:rsidRPr="00325988" w:rsidRDefault="00CD5567" w:rsidP="00325988">
      <w:pPr>
        <w:pStyle w:val="NormalWeb"/>
        <w:shd w:val="clear" w:color="auto" w:fill="FFFFFF"/>
        <w:jc w:val="both"/>
      </w:pPr>
      <w:r w:rsidRPr="00325988">
        <w:rPr>
          <w:rStyle w:val="rvts10"/>
          <w:color w:val="auto"/>
        </w:rPr>
        <w:t>    (3) Prezenta hotărâre nu vizează riscurile care decurg din contactul cu conductori sub tensiune.</w:t>
      </w:r>
    </w:p>
    <w:p w:rsidR="00CD5567" w:rsidRPr="00325988" w:rsidRDefault="00CD5567" w:rsidP="00325988">
      <w:pPr>
        <w:pStyle w:val="NormalWeb"/>
        <w:shd w:val="clear" w:color="auto" w:fill="FFFFFF"/>
        <w:jc w:val="both"/>
      </w:pPr>
      <w:bookmarkStart w:id="6" w:name="1532223"/>
      <w:bookmarkEnd w:id="6"/>
      <w:r w:rsidRPr="00325988">
        <w:rPr>
          <w:rStyle w:val="rvts9"/>
        </w:rPr>
        <w:t>    Art. 3</w:t>
      </w:r>
      <w:r w:rsidRPr="00325988">
        <w:rPr>
          <w:rStyle w:val="rvts14"/>
        </w:rPr>
        <w:t> - </w:t>
      </w:r>
      <w:r w:rsidRPr="00325988">
        <w:rPr>
          <w:rStyle w:val="rvts10"/>
          <w:color w:val="auto"/>
        </w:rPr>
        <w:t>Prevederile </w:t>
      </w:r>
      <w:hyperlink r:id="rId4" w:history="1">
        <w:r w:rsidRPr="00325988">
          <w:rPr>
            <w:rStyle w:val="Hyperlink"/>
            <w:color w:val="auto"/>
          </w:rPr>
          <w:t>Legii securit</w:t>
        </w:r>
      </w:hyperlink>
      <w:hyperlink r:id="rId5" w:history="1">
        <w:r w:rsidRPr="00325988">
          <w:rPr>
            <w:rStyle w:val="Hyperlink"/>
            <w:color w:val="auto"/>
          </w:rPr>
          <w:t>ăţ</w:t>
        </w:r>
      </w:hyperlink>
      <w:hyperlink r:id="rId6" w:history="1">
        <w:r w:rsidRPr="00325988">
          <w:rPr>
            <w:rStyle w:val="Hyperlink"/>
            <w:color w:val="auto"/>
          </w:rPr>
          <w:t>ii </w:t>
        </w:r>
      </w:hyperlink>
      <w:hyperlink r:id="rId7" w:history="1">
        <w:r w:rsidRPr="00325988">
          <w:rPr>
            <w:rStyle w:val="Hyperlink"/>
            <w:color w:val="auto"/>
          </w:rPr>
          <w:t>ş</w:t>
        </w:r>
      </w:hyperlink>
      <w:hyperlink r:id="rId8" w:history="1">
        <w:r w:rsidRPr="00325988">
          <w:rPr>
            <w:rStyle w:val="Hyperlink"/>
            <w:color w:val="auto"/>
          </w:rPr>
          <w:t>i s</w:t>
        </w:r>
      </w:hyperlink>
      <w:hyperlink r:id="rId9" w:history="1">
        <w:r w:rsidRPr="00325988">
          <w:rPr>
            <w:rStyle w:val="Hyperlink"/>
            <w:color w:val="auto"/>
          </w:rPr>
          <w:t>ă</w:t>
        </w:r>
      </w:hyperlink>
      <w:hyperlink r:id="rId10" w:history="1">
        <w:r w:rsidRPr="00325988">
          <w:rPr>
            <w:rStyle w:val="Hyperlink"/>
            <w:color w:val="auto"/>
          </w:rPr>
          <w:t>n</w:t>
        </w:r>
      </w:hyperlink>
      <w:hyperlink r:id="rId11" w:history="1">
        <w:r w:rsidRPr="00325988">
          <w:rPr>
            <w:rStyle w:val="Hyperlink"/>
            <w:color w:val="auto"/>
          </w:rPr>
          <w:t>ă</w:t>
        </w:r>
      </w:hyperlink>
      <w:hyperlink r:id="rId12" w:history="1">
        <w:r w:rsidRPr="00325988">
          <w:rPr>
            <w:rStyle w:val="Hyperlink"/>
            <w:color w:val="auto"/>
          </w:rPr>
          <w:t>t</w:t>
        </w:r>
      </w:hyperlink>
      <w:hyperlink r:id="rId13" w:history="1">
        <w:r w:rsidRPr="00325988">
          <w:rPr>
            <w:rStyle w:val="Hyperlink"/>
            <w:color w:val="auto"/>
          </w:rPr>
          <w:t>ăţ</w:t>
        </w:r>
      </w:hyperlink>
      <w:hyperlink r:id="rId14" w:history="1">
        <w:r w:rsidRPr="00325988">
          <w:rPr>
            <w:rStyle w:val="Hyperlink"/>
            <w:color w:val="auto"/>
          </w:rPr>
          <w:t>ii </w:t>
        </w:r>
      </w:hyperlink>
      <w:hyperlink r:id="rId15" w:history="1">
        <w:r w:rsidRPr="00325988">
          <w:rPr>
            <w:rStyle w:val="Hyperlink"/>
            <w:color w:val="auto"/>
          </w:rPr>
          <w:t>î</w:t>
        </w:r>
      </w:hyperlink>
      <w:hyperlink r:id="rId16" w:history="1">
        <w:r w:rsidRPr="00325988">
          <w:rPr>
            <w:rStyle w:val="Hyperlink"/>
            <w:color w:val="auto"/>
          </w:rPr>
          <w:t>n munc</w:t>
        </w:r>
      </w:hyperlink>
      <w:hyperlink r:id="rId17" w:history="1">
        <w:r w:rsidRPr="00325988">
          <w:rPr>
            <w:rStyle w:val="Hyperlink"/>
            <w:color w:val="auto"/>
          </w:rPr>
          <w:t>ă</w:t>
        </w:r>
      </w:hyperlink>
      <w:hyperlink r:id="rId18" w:history="1">
        <w:r w:rsidRPr="00325988">
          <w:rPr>
            <w:rStyle w:val="Hyperlink"/>
            <w:color w:val="auto"/>
          </w:rPr>
          <w:t xml:space="preserve"> nr. </w:t>
        </w:r>
        <w:proofErr w:type="gramStart"/>
        <w:r w:rsidRPr="00325988">
          <w:rPr>
            <w:rStyle w:val="Hyperlink"/>
            <w:color w:val="auto"/>
          </w:rPr>
          <w:t>319/2006</w:t>
        </w:r>
      </w:hyperlink>
      <w:r w:rsidRPr="00325988">
        <w:rPr>
          <w:rStyle w:val="rvts10"/>
          <w:color w:val="auto"/>
        </w:rPr>
        <w:t> se aplică în totalitate întregului domeniu prevăzut la art.</w:t>
      </w:r>
      <w:proofErr w:type="gramEnd"/>
      <w:r w:rsidRPr="00325988">
        <w:rPr>
          <w:rStyle w:val="rvts10"/>
          <w:color w:val="auto"/>
        </w:rPr>
        <w:t xml:space="preserve"> 1, fără </w:t>
      </w:r>
      <w:proofErr w:type="gramStart"/>
      <w:r w:rsidRPr="00325988">
        <w:rPr>
          <w:rStyle w:val="rvts10"/>
          <w:color w:val="auto"/>
        </w:rPr>
        <w:t>a</w:t>
      </w:r>
      <w:proofErr w:type="gramEnd"/>
      <w:r w:rsidRPr="00325988">
        <w:rPr>
          <w:rStyle w:val="rvts10"/>
          <w:color w:val="auto"/>
        </w:rPr>
        <w:t xml:space="preserve"> aduce atingere prevederilor mai restrictive şi/sau mai specifice din prezenta hotărâre.</w:t>
      </w:r>
    </w:p>
    <w:p w:rsidR="00CD5567" w:rsidRPr="00325988" w:rsidRDefault="00CD5567" w:rsidP="00325988">
      <w:pPr>
        <w:pStyle w:val="NormalWeb"/>
        <w:shd w:val="clear" w:color="auto" w:fill="FFFFFF"/>
        <w:jc w:val="both"/>
      </w:pPr>
      <w:bookmarkStart w:id="7" w:name="1532224"/>
      <w:bookmarkEnd w:id="7"/>
      <w:r w:rsidRPr="00325988">
        <w:rPr>
          <w:rStyle w:val="rvts9"/>
        </w:rPr>
        <w:t>    Art. 4</w:t>
      </w:r>
      <w:r w:rsidRPr="00325988">
        <w:rPr>
          <w:rStyle w:val="rvts14"/>
        </w:rPr>
        <w:t> - </w:t>
      </w:r>
      <w:r w:rsidRPr="00325988">
        <w:rPr>
          <w:rStyle w:val="rvts10"/>
          <w:color w:val="auto"/>
        </w:rPr>
        <w:t xml:space="preserve">În înţelesul prezentei hotărâri, termenii şi expresiile de mai </w:t>
      </w:r>
      <w:proofErr w:type="gramStart"/>
      <w:r w:rsidRPr="00325988">
        <w:rPr>
          <w:rStyle w:val="rvts10"/>
          <w:color w:val="auto"/>
        </w:rPr>
        <w:t>jos</w:t>
      </w:r>
      <w:proofErr w:type="gramEnd"/>
      <w:r w:rsidRPr="00325988">
        <w:rPr>
          <w:rStyle w:val="rvts10"/>
          <w:color w:val="auto"/>
        </w:rPr>
        <w:t xml:space="preserve"> se definesc după cum urmează:</w:t>
      </w:r>
    </w:p>
    <w:p w:rsidR="00CD5567" w:rsidRPr="00325988" w:rsidRDefault="00CD5567" w:rsidP="00325988">
      <w:pPr>
        <w:pStyle w:val="NormalWeb"/>
        <w:shd w:val="clear" w:color="auto" w:fill="FFFFFF"/>
        <w:jc w:val="both"/>
      </w:pPr>
      <w:r w:rsidRPr="00325988">
        <w:rPr>
          <w:rStyle w:val="rvts10"/>
          <w:color w:val="auto"/>
        </w:rPr>
        <w:t>    a) </w:t>
      </w:r>
      <w:proofErr w:type="gramStart"/>
      <w:r w:rsidRPr="00325988">
        <w:rPr>
          <w:rStyle w:val="rvts15"/>
          <w:color w:val="auto"/>
        </w:rPr>
        <w:t>câmpuri</w:t>
      </w:r>
      <w:proofErr w:type="gramEnd"/>
      <w:r w:rsidRPr="00325988">
        <w:rPr>
          <w:rStyle w:val="rvts15"/>
          <w:color w:val="auto"/>
        </w:rPr>
        <w:t xml:space="preserve"> electromagnetice </w:t>
      </w:r>
      <w:r w:rsidRPr="00325988">
        <w:rPr>
          <w:rStyle w:val="rvts10"/>
          <w:color w:val="auto"/>
        </w:rPr>
        <w:t>- câmpuri magnetice statice şi câmpuri electrice, magnetice şi electromagnetice care variază în timp cu frecvenţe până la 300 GHz;</w:t>
      </w:r>
    </w:p>
    <w:p w:rsidR="00CD5567" w:rsidRPr="00325988" w:rsidRDefault="00CD5567" w:rsidP="00325988">
      <w:pPr>
        <w:pStyle w:val="NormalWeb"/>
        <w:shd w:val="clear" w:color="auto" w:fill="FFFFFF"/>
        <w:jc w:val="both"/>
      </w:pPr>
      <w:r w:rsidRPr="00325988">
        <w:rPr>
          <w:rStyle w:val="rvts10"/>
          <w:color w:val="auto"/>
        </w:rPr>
        <w:t>    b) </w:t>
      </w:r>
      <w:proofErr w:type="gramStart"/>
      <w:r w:rsidRPr="00325988">
        <w:rPr>
          <w:rStyle w:val="rvts15"/>
          <w:color w:val="auto"/>
        </w:rPr>
        <w:t>valori</w:t>
      </w:r>
      <w:proofErr w:type="gramEnd"/>
      <w:r w:rsidRPr="00325988">
        <w:rPr>
          <w:rStyle w:val="rvts15"/>
          <w:color w:val="auto"/>
        </w:rPr>
        <w:t xml:space="preserve"> limită de expunere </w:t>
      </w:r>
      <w:r w:rsidRPr="00325988">
        <w:rPr>
          <w:rStyle w:val="rvts10"/>
          <w:color w:val="auto"/>
        </w:rPr>
        <w:t>- limitele de expunere la câmpuri electromagnetice care se bazează direct pe efectele cunoscute asupra sănătăţii şi pe consideraţii biologice; respectarea acestor limite asigură protecţia lucrătorilor expuşi la câmpuri electromagnetice împotriva oricărui efect nociv cunoscut asupra sănătăţii;</w:t>
      </w:r>
    </w:p>
    <w:p w:rsidR="00CD5567" w:rsidRPr="00325988" w:rsidRDefault="00CD5567" w:rsidP="00325988">
      <w:pPr>
        <w:pStyle w:val="NormalWeb"/>
        <w:shd w:val="clear" w:color="auto" w:fill="FFFFFF"/>
        <w:jc w:val="both"/>
      </w:pPr>
      <w:r w:rsidRPr="00325988">
        <w:rPr>
          <w:rStyle w:val="rvts10"/>
          <w:color w:val="auto"/>
        </w:rPr>
        <w:t>    c) </w:t>
      </w:r>
      <w:r w:rsidRPr="00325988">
        <w:rPr>
          <w:rStyle w:val="rvts15"/>
          <w:color w:val="auto"/>
        </w:rPr>
        <w:t>valori de declanşare a acţiunii </w:t>
      </w:r>
      <w:r w:rsidRPr="00325988">
        <w:rPr>
          <w:rStyle w:val="rvts10"/>
          <w:color w:val="auto"/>
        </w:rPr>
        <w:t>- nivelul parametrilor direct măsurabili, exprimaţi în termeni de intensitate a câmpului electric (E), de intensitate a câmpului magnetic (H), de inducţie magnetică (B) şi de densitate a puterii (S), începând de la care trebuie să fie luate una sau mai multe măsuri prevăzute în prezenta hotărâre; respectarea valorilor de declanşare a acţiunii asigură respectarea valorilor limită de expunere relevante.</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8" w:name="1532225"/>
      <w:bookmarkEnd w:id="8"/>
      <w:r w:rsidRPr="00325988">
        <w:rPr>
          <w:rStyle w:val="rvts9"/>
        </w:rPr>
        <w:t>    </w:t>
      </w:r>
      <w:r w:rsidRPr="00325988">
        <w:rPr>
          <w:rStyle w:val="rvts12"/>
        </w:rPr>
        <w:t>Secţiunea a 2-a</w:t>
      </w:r>
      <w:r w:rsidRPr="00325988">
        <w:rPr>
          <w:rStyle w:val="rvts10"/>
          <w:color w:val="auto"/>
        </w:rPr>
        <w:t>    </w:t>
      </w:r>
      <w:r w:rsidRPr="00325988">
        <w:rPr>
          <w:rStyle w:val="rvts13"/>
          <w:color w:val="auto"/>
        </w:rPr>
        <w:t xml:space="preserve">Valorile limită de expunere şi valorile de declanşare </w:t>
      </w:r>
      <w:proofErr w:type="gramStart"/>
      <w:r w:rsidRPr="00325988">
        <w:rPr>
          <w:rStyle w:val="rvts13"/>
          <w:color w:val="auto"/>
        </w:rPr>
        <w:t>a</w:t>
      </w:r>
      <w:proofErr w:type="gramEnd"/>
      <w:r w:rsidRPr="00325988">
        <w:rPr>
          <w:rStyle w:val="rvts13"/>
          <w:color w:val="auto"/>
        </w:rPr>
        <w:t xml:space="preserve"> acţiunii</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9" w:name="1532226"/>
      <w:bookmarkEnd w:id="9"/>
      <w:r w:rsidRPr="00325988">
        <w:rPr>
          <w:rStyle w:val="rvts9"/>
        </w:rPr>
        <w:t>    Art. 5</w:t>
      </w:r>
      <w:r w:rsidRPr="00325988">
        <w:rPr>
          <w:rStyle w:val="rvts14"/>
        </w:rPr>
        <w:t> - </w:t>
      </w:r>
      <w:r w:rsidRPr="00325988">
        <w:rPr>
          <w:rStyle w:val="rvts10"/>
          <w:color w:val="auto"/>
        </w:rPr>
        <w:t xml:space="preserve">Valorile limită de expunere şi valorile de declanşare </w:t>
      </w:r>
      <w:proofErr w:type="gramStart"/>
      <w:r w:rsidRPr="00325988">
        <w:rPr>
          <w:rStyle w:val="rvts10"/>
          <w:color w:val="auto"/>
        </w:rPr>
        <w:t>a</w:t>
      </w:r>
      <w:proofErr w:type="gramEnd"/>
      <w:r w:rsidRPr="00325988">
        <w:rPr>
          <w:rStyle w:val="rvts10"/>
          <w:color w:val="auto"/>
        </w:rPr>
        <w:t xml:space="preserve"> acţiunii pentru câmpurile electromagnetice sunt prevăzute în tabelele nr. </w:t>
      </w:r>
      <w:proofErr w:type="gramStart"/>
      <w:r w:rsidRPr="00325988">
        <w:rPr>
          <w:rStyle w:val="rvts10"/>
          <w:color w:val="auto"/>
        </w:rPr>
        <w:t>1 şi 2 din anexa care face parte integrantă din prezenta hotărâre.</w:t>
      </w:r>
      <w:proofErr w:type="gramEnd"/>
    </w:p>
    <w:p w:rsidR="00CD5567" w:rsidRPr="00325988" w:rsidRDefault="00CD5567" w:rsidP="00325988">
      <w:pPr>
        <w:pStyle w:val="NormalWeb"/>
        <w:shd w:val="clear" w:color="auto" w:fill="FFFFFF"/>
        <w:jc w:val="both"/>
      </w:pPr>
      <w:bookmarkStart w:id="10" w:name="1532227"/>
      <w:bookmarkEnd w:id="10"/>
      <w:r w:rsidRPr="00325988">
        <w:rPr>
          <w:rStyle w:val="rvts9"/>
        </w:rPr>
        <w:t>    Art. 6</w:t>
      </w:r>
      <w:r w:rsidRPr="00325988">
        <w:rPr>
          <w:rStyle w:val="rvts14"/>
        </w:rPr>
        <w:t> - </w:t>
      </w:r>
      <w:r w:rsidRPr="00325988">
        <w:rPr>
          <w:rStyle w:val="rvts10"/>
          <w:color w:val="auto"/>
        </w:rPr>
        <w:t>(1) Pentru evaluarea, măsurarea şi/sau calculul expunerii lucrătorilor la câmpuri electromagnetice se poate recurge la standardele naţionale în domeniu.</w:t>
      </w:r>
    </w:p>
    <w:p w:rsidR="00CD5567" w:rsidRPr="00325988" w:rsidRDefault="00CD5567" w:rsidP="00325988">
      <w:pPr>
        <w:pStyle w:val="NormalWeb"/>
        <w:shd w:val="clear" w:color="auto" w:fill="FFFFFF"/>
        <w:jc w:val="both"/>
      </w:pPr>
      <w:r w:rsidRPr="00325988">
        <w:rPr>
          <w:rStyle w:val="rvts10"/>
          <w:color w:val="auto"/>
        </w:rPr>
        <w:t xml:space="preserve">    (2) Se poate recurge la standardele prevăzute la alin. (1) </w:t>
      </w:r>
      <w:proofErr w:type="gramStart"/>
      <w:r w:rsidRPr="00325988">
        <w:rPr>
          <w:rStyle w:val="rvts10"/>
          <w:color w:val="auto"/>
        </w:rPr>
        <w:t>până</w:t>
      </w:r>
      <w:proofErr w:type="gramEnd"/>
      <w:r w:rsidRPr="00325988">
        <w:rPr>
          <w:rStyle w:val="rvts10"/>
          <w:color w:val="auto"/>
        </w:rPr>
        <w:t xml:space="preserve"> la data publicării standardelor naţionale adaptate standardelor europene armonizate care acoperă întreaga serie de evaluări, măsurări şi calcule, stabilite de Comitetul European pentru Standardizare în Electrotehnică </w:t>
      </w:r>
      <w:r w:rsidRPr="00325988">
        <w:rPr>
          <w:rStyle w:val="rvts15"/>
          <w:color w:val="auto"/>
        </w:rPr>
        <w:t>(CENELEC).</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11" w:name="1532228"/>
      <w:bookmarkEnd w:id="11"/>
      <w:r w:rsidRPr="00325988">
        <w:rPr>
          <w:rStyle w:val="rvts9"/>
        </w:rPr>
        <w:t>    Cap. II</w:t>
      </w:r>
      <w:r w:rsidRPr="00325988">
        <w:rPr>
          <w:rStyle w:val="rvts10"/>
          <w:color w:val="auto"/>
        </w:rPr>
        <w:t>    </w:t>
      </w:r>
      <w:r w:rsidRPr="00325988">
        <w:rPr>
          <w:rStyle w:val="rvts11"/>
          <w:color w:val="auto"/>
        </w:rPr>
        <w:t>Obligaţiile angajatorului</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12" w:name="1532229"/>
      <w:bookmarkEnd w:id="12"/>
      <w:r w:rsidRPr="00325988">
        <w:rPr>
          <w:rStyle w:val="rvts9"/>
        </w:rPr>
        <w:t>    </w:t>
      </w:r>
      <w:r w:rsidRPr="00325988">
        <w:rPr>
          <w:rStyle w:val="rvts12"/>
        </w:rPr>
        <w:t>Secţiunea 1</w:t>
      </w:r>
      <w:r w:rsidRPr="00325988">
        <w:rPr>
          <w:rStyle w:val="rvts10"/>
          <w:color w:val="auto"/>
        </w:rPr>
        <w:t>    </w:t>
      </w:r>
      <w:r w:rsidRPr="00325988">
        <w:rPr>
          <w:rStyle w:val="rvts13"/>
          <w:color w:val="auto"/>
        </w:rPr>
        <w:t>Determinarea expunerii şi evaluarea riscurilor</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13" w:name="1532230"/>
      <w:bookmarkEnd w:id="13"/>
      <w:r w:rsidRPr="00325988">
        <w:rPr>
          <w:rStyle w:val="rvts9"/>
        </w:rPr>
        <w:lastRenderedPageBreak/>
        <w:t>    Art. 7</w:t>
      </w:r>
      <w:r w:rsidRPr="00325988">
        <w:rPr>
          <w:rStyle w:val="rvts14"/>
        </w:rPr>
        <w:t> - </w:t>
      </w:r>
      <w:r w:rsidRPr="00325988">
        <w:rPr>
          <w:rStyle w:val="rvts10"/>
          <w:color w:val="auto"/>
        </w:rPr>
        <w:t>(1) În îndeplinirea obligaţiilor prevăzute la </w:t>
      </w:r>
      <w:hyperlink r:id="rId19" w:history="1">
        <w:r w:rsidRPr="00325988">
          <w:rPr>
            <w:rStyle w:val="Hyperlink"/>
            <w:color w:val="auto"/>
          </w:rPr>
          <w:t xml:space="preserve">art. </w:t>
        </w:r>
        <w:proofErr w:type="gramStart"/>
        <w:r w:rsidRPr="00325988">
          <w:rPr>
            <w:rStyle w:val="Hyperlink"/>
            <w:color w:val="auto"/>
          </w:rPr>
          <w:t>7</w:t>
        </w:r>
      </w:hyperlink>
      <w:r w:rsidRPr="00325988">
        <w:rPr>
          <w:rStyle w:val="rvts10"/>
          <w:color w:val="auto"/>
        </w:rPr>
        <w:t> alin.</w:t>
      </w:r>
      <w:proofErr w:type="gramEnd"/>
      <w:r w:rsidRPr="00325988">
        <w:rPr>
          <w:rStyle w:val="rvts10"/>
          <w:color w:val="auto"/>
        </w:rPr>
        <w:t xml:space="preserve"> (4) </w:t>
      </w:r>
      <w:proofErr w:type="gramStart"/>
      <w:r w:rsidRPr="00325988">
        <w:rPr>
          <w:rStyle w:val="rvts10"/>
          <w:color w:val="auto"/>
        </w:rPr>
        <w:t>şi</w:t>
      </w:r>
      <w:proofErr w:type="gramEnd"/>
      <w:r w:rsidRPr="00325988">
        <w:rPr>
          <w:rStyle w:val="rvts10"/>
          <w:color w:val="auto"/>
        </w:rPr>
        <w:t xml:space="preserve"> la </w:t>
      </w:r>
      <w:hyperlink r:id="rId20" w:history="1">
        <w:r w:rsidRPr="00325988">
          <w:rPr>
            <w:rStyle w:val="Hyperlink"/>
            <w:color w:val="auto"/>
          </w:rPr>
          <w:t xml:space="preserve">art. </w:t>
        </w:r>
        <w:proofErr w:type="gramStart"/>
        <w:r w:rsidRPr="00325988">
          <w:rPr>
            <w:rStyle w:val="Hyperlink"/>
            <w:color w:val="auto"/>
          </w:rPr>
          <w:t>12</w:t>
        </w:r>
      </w:hyperlink>
      <w:r w:rsidRPr="00325988">
        <w:rPr>
          <w:rStyle w:val="rvts10"/>
          <w:color w:val="auto"/>
        </w:rPr>
        <w:t> alin.</w:t>
      </w:r>
      <w:proofErr w:type="gramEnd"/>
      <w:r w:rsidRPr="00325988">
        <w:rPr>
          <w:rStyle w:val="rvts10"/>
          <w:color w:val="auto"/>
        </w:rPr>
        <w:t xml:space="preserve"> (1) </w:t>
      </w:r>
      <w:proofErr w:type="gramStart"/>
      <w:r w:rsidRPr="00325988">
        <w:rPr>
          <w:rStyle w:val="rvts10"/>
          <w:color w:val="auto"/>
        </w:rPr>
        <w:t>din</w:t>
      </w:r>
      <w:proofErr w:type="gramEnd"/>
      <w:r w:rsidRPr="00325988">
        <w:rPr>
          <w:rStyle w:val="rvts10"/>
          <w:color w:val="auto"/>
        </w:rPr>
        <w:t xml:space="preserve"> Legea nr. 319/2006, angajatorul trebuie </w:t>
      </w:r>
      <w:proofErr w:type="gramStart"/>
      <w:r w:rsidRPr="00325988">
        <w:rPr>
          <w:rStyle w:val="rvts10"/>
          <w:color w:val="auto"/>
        </w:rPr>
        <w:t>să</w:t>
      </w:r>
      <w:proofErr w:type="gramEnd"/>
      <w:r w:rsidRPr="00325988">
        <w:rPr>
          <w:rStyle w:val="rvts10"/>
          <w:color w:val="auto"/>
        </w:rPr>
        <w:t xml:space="preserve"> evalueze şi, dacă este necesar, să măsoare şi/sau să calculeze nivelurile câmpurilor electromagnetice la care sunt expuşi lucrătorii.</w:t>
      </w:r>
    </w:p>
    <w:p w:rsidR="00CD5567" w:rsidRPr="00325988" w:rsidRDefault="00CD5567" w:rsidP="00325988">
      <w:pPr>
        <w:pStyle w:val="NormalWeb"/>
        <w:shd w:val="clear" w:color="auto" w:fill="FFFFFF"/>
        <w:jc w:val="both"/>
      </w:pPr>
      <w:r w:rsidRPr="00325988">
        <w:rPr>
          <w:rStyle w:val="rvts10"/>
          <w:color w:val="auto"/>
        </w:rPr>
        <w:t xml:space="preserve">    (2) Evaluarea, măsurarea şi calcularea nivelurilor câmpurilor electromagnetice la care sunt expuşi lucrătorii se pot efectua în conformitate cu standardele prevăzute la art. </w:t>
      </w:r>
      <w:proofErr w:type="gramStart"/>
      <w:r w:rsidRPr="00325988">
        <w:rPr>
          <w:rStyle w:val="rvts10"/>
          <w:color w:val="auto"/>
        </w:rPr>
        <w:t>6 alin.</w:t>
      </w:r>
      <w:proofErr w:type="gramEnd"/>
      <w:r w:rsidRPr="00325988">
        <w:rPr>
          <w:rStyle w:val="rvts10"/>
          <w:color w:val="auto"/>
        </w:rPr>
        <w:t xml:space="preserve"> (1) şi, după caz, luându-se în considerare nivelurile de emisie indicate de producătorii echipamentelor, atunci când acestea sunt reglementate de legislaţia naţională, până la data publicării standardelor naţionale adaptate standardelor europene armonizate ale CENELEC care acoperă întreaga serie de evaluări, măsurări şi calcule.</w:t>
      </w:r>
    </w:p>
    <w:p w:rsidR="00CD5567" w:rsidRPr="00325988" w:rsidRDefault="00CD5567" w:rsidP="00325988">
      <w:pPr>
        <w:pStyle w:val="NormalWeb"/>
        <w:shd w:val="clear" w:color="auto" w:fill="FFFFFF"/>
        <w:jc w:val="both"/>
      </w:pPr>
      <w:bookmarkStart w:id="14" w:name="1532231"/>
      <w:bookmarkEnd w:id="14"/>
      <w:r w:rsidRPr="00325988">
        <w:rPr>
          <w:rStyle w:val="rvts9"/>
        </w:rPr>
        <w:t>    Art. 8</w:t>
      </w:r>
      <w:r w:rsidRPr="00325988">
        <w:rPr>
          <w:rStyle w:val="rvts14"/>
        </w:rPr>
        <w:t> - </w:t>
      </w:r>
      <w:r w:rsidRPr="00325988">
        <w:rPr>
          <w:rStyle w:val="rvts10"/>
          <w:color w:val="auto"/>
        </w:rPr>
        <w:t xml:space="preserve">Pe baza evaluării nivelurilor câmpurilor electromagnetice, efectuată în conformitate cu art. 7, atunci când sunt depăşite valorile de declanşare </w:t>
      </w:r>
      <w:proofErr w:type="gramStart"/>
      <w:r w:rsidRPr="00325988">
        <w:rPr>
          <w:rStyle w:val="rvts10"/>
          <w:color w:val="auto"/>
        </w:rPr>
        <w:t>a</w:t>
      </w:r>
      <w:proofErr w:type="gramEnd"/>
      <w:r w:rsidRPr="00325988">
        <w:rPr>
          <w:rStyle w:val="rvts10"/>
          <w:color w:val="auto"/>
        </w:rPr>
        <w:t xml:space="preserve"> acţiunii prevăzute la art. 5, angajatorul evaluează şi, dacă </w:t>
      </w:r>
      <w:proofErr w:type="gramStart"/>
      <w:r w:rsidRPr="00325988">
        <w:rPr>
          <w:rStyle w:val="rvts10"/>
          <w:color w:val="auto"/>
        </w:rPr>
        <w:t>este</w:t>
      </w:r>
      <w:proofErr w:type="gramEnd"/>
      <w:r w:rsidRPr="00325988">
        <w:rPr>
          <w:rStyle w:val="rvts10"/>
          <w:color w:val="auto"/>
        </w:rPr>
        <w:t xml:space="preserve"> necesar, calculează dacă sunt depăşite valorile limită de expunere.</w:t>
      </w:r>
    </w:p>
    <w:p w:rsidR="00CD5567" w:rsidRPr="00325988" w:rsidRDefault="00CD5567" w:rsidP="00325988">
      <w:pPr>
        <w:pStyle w:val="NormalWeb"/>
        <w:shd w:val="clear" w:color="auto" w:fill="FFFFFF"/>
        <w:jc w:val="both"/>
      </w:pPr>
      <w:bookmarkStart w:id="15" w:name="1532232"/>
      <w:bookmarkEnd w:id="15"/>
      <w:r w:rsidRPr="00325988">
        <w:rPr>
          <w:rStyle w:val="rvts9"/>
        </w:rPr>
        <w:t>    Art. 9</w:t>
      </w:r>
      <w:r w:rsidRPr="00325988">
        <w:rPr>
          <w:rStyle w:val="rvts14"/>
        </w:rPr>
        <w:t> - </w:t>
      </w:r>
      <w:r w:rsidRPr="00325988">
        <w:rPr>
          <w:rStyle w:val="rvts10"/>
          <w:color w:val="auto"/>
        </w:rPr>
        <w:t>Evaluarea, măsurarea şi/sau calculele prevăzute la art. 7 şi 8 nu este absolut necesar să fie efectuate în locuri de muncă cu acces public, cu condiţia ca o evaluare să fi fost deja efectuată în conformitate cu prevederile Normelor de reglementare a nivelurilor de referinţă admisibile de expunere a populaţiei generale la câmpuri electromagnetice cu frecvenţele de la 0 Hz la 300 GHz, aprobate prin </w:t>
      </w:r>
      <w:hyperlink r:id="rId21" w:history="1">
        <w:r w:rsidRPr="00325988">
          <w:rPr>
            <w:rStyle w:val="Hyperlink"/>
            <w:color w:val="auto"/>
          </w:rPr>
          <w:t>Ordinul ministrului s</w:t>
        </w:r>
      </w:hyperlink>
      <w:hyperlink r:id="rId22" w:history="1">
        <w:r w:rsidRPr="00325988">
          <w:rPr>
            <w:rStyle w:val="Hyperlink"/>
            <w:color w:val="auto"/>
          </w:rPr>
          <w:t>ă</w:t>
        </w:r>
      </w:hyperlink>
      <w:hyperlink r:id="rId23" w:history="1">
        <w:r w:rsidRPr="00325988">
          <w:rPr>
            <w:rStyle w:val="Hyperlink"/>
            <w:color w:val="auto"/>
          </w:rPr>
          <w:t>n</w:t>
        </w:r>
      </w:hyperlink>
      <w:hyperlink r:id="rId24" w:history="1">
        <w:r w:rsidRPr="00325988">
          <w:rPr>
            <w:rStyle w:val="Hyperlink"/>
            <w:color w:val="auto"/>
          </w:rPr>
          <w:t>ă</w:t>
        </w:r>
      </w:hyperlink>
      <w:hyperlink r:id="rId25" w:history="1">
        <w:r w:rsidRPr="00325988">
          <w:rPr>
            <w:rStyle w:val="Hyperlink"/>
            <w:color w:val="auto"/>
          </w:rPr>
          <w:t>t</w:t>
        </w:r>
      </w:hyperlink>
      <w:hyperlink r:id="rId26" w:history="1">
        <w:r w:rsidRPr="00325988">
          <w:rPr>
            <w:rStyle w:val="Hyperlink"/>
            <w:color w:val="auto"/>
          </w:rPr>
          <w:t>ăţ</w:t>
        </w:r>
      </w:hyperlink>
      <w:hyperlink r:id="rId27" w:history="1">
        <w:r w:rsidRPr="00325988">
          <w:rPr>
            <w:rStyle w:val="Hyperlink"/>
            <w:color w:val="auto"/>
          </w:rPr>
          <w:t>ii </w:t>
        </w:r>
      </w:hyperlink>
      <w:hyperlink r:id="rId28" w:history="1">
        <w:r w:rsidRPr="00325988">
          <w:rPr>
            <w:rStyle w:val="Hyperlink"/>
            <w:color w:val="auto"/>
          </w:rPr>
          <w:t>ş</w:t>
        </w:r>
      </w:hyperlink>
      <w:hyperlink r:id="rId29" w:history="1">
        <w:r w:rsidRPr="00325988">
          <w:rPr>
            <w:rStyle w:val="Hyperlink"/>
            <w:color w:val="auto"/>
          </w:rPr>
          <w:t xml:space="preserve">i familiei nr. </w:t>
        </w:r>
        <w:proofErr w:type="gramStart"/>
        <w:r w:rsidRPr="00325988">
          <w:rPr>
            <w:rStyle w:val="Hyperlink"/>
            <w:color w:val="auto"/>
          </w:rPr>
          <w:t>1.007/2002</w:t>
        </w:r>
      </w:hyperlink>
      <w:r w:rsidRPr="00325988">
        <w:rPr>
          <w:rStyle w:val="rvts10"/>
          <w:color w:val="auto"/>
        </w:rPr>
        <w:t>, publicat în Monitorul Oficial al României, Partea I, nr.</w:t>
      </w:r>
      <w:proofErr w:type="gramEnd"/>
      <w:r w:rsidRPr="00325988">
        <w:rPr>
          <w:rStyle w:val="rvts10"/>
          <w:color w:val="auto"/>
        </w:rPr>
        <w:t xml:space="preserve"> 929 din 18 decembrie 2002, şi ca restricţiile menţionate în aceste norme </w:t>
      </w:r>
      <w:proofErr w:type="gramStart"/>
      <w:r w:rsidRPr="00325988">
        <w:rPr>
          <w:rStyle w:val="rvts10"/>
          <w:color w:val="auto"/>
        </w:rPr>
        <w:t>să</w:t>
      </w:r>
      <w:proofErr w:type="gramEnd"/>
      <w:r w:rsidRPr="00325988">
        <w:rPr>
          <w:rStyle w:val="rvts10"/>
          <w:color w:val="auto"/>
        </w:rPr>
        <w:t xml:space="preserve"> fie respectate în cazul lucrătorilor şi riscurile pentru securitate să fie excluse.</w:t>
      </w:r>
    </w:p>
    <w:p w:rsidR="00CD5567" w:rsidRPr="00325988" w:rsidRDefault="00CD5567" w:rsidP="00325988">
      <w:pPr>
        <w:pStyle w:val="NormalWeb"/>
        <w:shd w:val="clear" w:color="auto" w:fill="FFFFFF"/>
        <w:jc w:val="both"/>
      </w:pPr>
      <w:bookmarkStart w:id="16" w:name="1532233"/>
      <w:bookmarkEnd w:id="16"/>
      <w:r w:rsidRPr="00325988">
        <w:rPr>
          <w:rStyle w:val="rvts9"/>
        </w:rPr>
        <w:t>    Art. 10</w:t>
      </w:r>
      <w:r w:rsidRPr="00325988">
        <w:rPr>
          <w:rStyle w:val="rvts14"/>
        </w:rPr>
        <w:t> - </w:t>
      </w:r>
      <w:r w:rsidRPr="00325988">
        <w:rPr>
          <w:rStyle w:val="rvts10"/>
          <w:color w:val="auto"/>
        </w:rPr>
        <w:t xml:space="preserve">Evaluarea, măsurarea şi/sau calculele prevăzute la art. 7 şi 8 trebuie </w:t>
      </w:r>
      <w:proofErr w:type="gramStart"/>
      <w:r w:rsidRPr="00325988">
        <w:rPr>
          <w:rStyle w:val="rvts10"/>
          <w:color w:val="auto"/>
        </w:rPr>
        <w:t>să</w:t>
      </w:r>
      <w:proofErr w:type="gramEnd"/>
      <w:r w:rsidRPr="00325988">
        <w:rPr>
          <w:rStyle w:val="rvts10"/>
          <w:color w:val="auto"/>
        </w:rPr>
        <w:t xml:space="preserve"> fie programate şi efectuate de către servicii sau persoane competente, la intervale adecvate, luându-se în considerare, în special, prevederile </w:t>
      </w:r>
      <w:hyperlink r:id="rId30" w:history="1">
        <w:r w:rsidRPr="00325988">
          <w:rPr>
            <w:rStyle w:val="Hyperlink"/>
            <w:color w:val="auto"/>
          </w:rPr>
          <w:t xml:space="preserve">art. </w:t>
        </w:r>
        <w:proofErr w:type="gramStart"/>
        <w:r w:rsidRPr="00325988">
          <w:rPr>
            <w:rStyle w:val="Hyperlink"/>
            <w:color w:val="auto"/>
          </w:rPr>
          <w:t>8</w:t>
        </w:r>
      </w:hyperlink>
      <w:r w:rsidRPr="00325988">
        <w:rPr>
          <w:rStyle w:val="rvts10"/>
          <w:color w:val="auto"/>
        </w:rPr>
        <w:t>, </w:t>
      </w:r>
      <w:hyperlink r:id="rId31" w:history="1">
        <w:r w:rsidRPr="00325988">
          <w:rPr>
            <w:rStyle w:val="Hyperlink"/>
            <w:color w:val="auto"/>
          </w:rPr>
          <w:t>9</w:t>
        </w:r>
      </w:hyperlink>
      <w:r w:rsidRPr="00325988">
        <w:rPr>
          <w:rStyle w:val="rvts10"/>
          <w:color w:val="auto"/>
        </w:rPr>
        <w:t> şi </w:t>
      </w:r>
      <w:hyperlink r:id="rId32" w:history="1">
        <w:r w:rsidRPr="00325988">
          <w:rPr>
            <w:rStyle w:val="Hyperlink"/>
            <w:color w:val="auto"/>
          </w:rPr>
          <w:t>18</w:t>
        </w:r>
      </w:hyperlink>
      <w:r w:rsidRPr="00325988">
        <w:rPr>
          <w:rStyle w:val="rvts10"/>
          <w:color w:val="auto"/>
        </w:rPr>
        <w:t> din Legea nr.319/2006.</w:t>
      </w:r>
      <w:proofErr w:type="gramEnd"/>
    </w:p>
    <w:p w:rsidR="00CD5567" w:rsidRPr="00325988" w:rsidRDefault="00CD5567" w:rsidP="00325988">
      <w:pPr>
        <w:pStyle w:val="NormalWeb"/>
        <w:shd w:val="clear" w:color="auto" w:fill="FFFFFF"/>
        <w:jc w:val="both"/>
      </w:pPr>
      <w:bookmarkStart w:id="17" w:name="1532234"/>
      <w:bookmarkEnd w:id="17"/>
      <w:r w:rsidRPr="00325988">
        <w:rPr>
          <w:rStyle w:val="rvts9"/>
        </w:rPr>
        <w:t>    Art. 11</w:t>
      </w:r>
      <w:r w:rsidRPr="00325988">
        <w:rPr>
          <w:rStyle w:val="rvts14"/>
        </w:rPr>
        <w:t> - </w:t>
      </w:r>
      <w:r w:rsidRPr="00325988">
        <w:rPr>
          <w:rStyle w:val="rvts10"/>
          <w:color w:val="auto"/>
        </w:rPr>
        <w:t xml:space="preserve">Datele rezultate din evaluarea, măsurarea şi/sau calculul nivelului de expunere trebuie </w:t>
      </w:r>
      <w:proofErr w:type="gramStart"/>
      <w:r w:rsidRPr="00325988">
        <w:rPr>
          <w:rStyle w:val="rvts10"/>
          <w:color w:val="auto"/>
        </w:rPr>
        <w:t>să</w:t>
      </w:r>
      <w:proofErr w:type="gramEnd"/>
      <w:r w:rsidRPr="00325988">
        <w:rPr>
          <w:rStyle w:val="rvts10"/>
          <w:color w:val="auto"/>
        </w:rPr>
        <w:t xml:space="preserve"> se păstreze într-o formă care să permită consultarea lor ulterioară.</w:t>
      </w:r>
    </w:p>
    <w:p w:rsidR="00CD5567" w:rsidRPr="00325988" w:rsidRDefault="00CD5567" w:rsidP="00325988">
      <w:pPr>
        <w:pStyle w:val="NormalWeb"/>
        <w:shd w:val="clear" w:color="auto" w:fill="FFFFFF"/>
        <w:jc w:val="both"/>
      </w:pPr>
      <w:bookmarkStart w:id="18" w:name="1532235"/>
      <w:bookmarkEnd w:id="18"/>
      <w:r w:rsidRPr="00325988">
        <w:rPr>
          <w:rStyle w:val="rvts9"/>
        </w:rPr>
        <w:t>    Art. 12</w:t>
      </w:r>
      <w:r w:rsidRPr="00325988">
        <w:rPr>
          <w:rStyle w:val="rvts14"/>
        </w:rPr>
        <w:t> - </w:t>
      </w:r>
      <w:r w:rsidRPr="00325988">
        <w:rPr>
          <w:rStyle w:val="rvts10"/>
          <w:color w:val="auto"/>
        </w:rPr>
        <w:t>În conformitate cu </w:t>
      </w:r>
      <w:hyperlink r:id="rId33" w:history="1">
        <w:r w:rsidRPr="00325988">
          <w:rPr>
            <w:rStyle w:val="Hyperlink"/>
            <w:color w:val="auto"/>
          </w:rPr>
          <w:t xml:space="preserve">art. </w:t>
        </w:r>
        <w:proofErr w:type="gramStart"/>
        <w:r w:rsidRPr="00325988">
          <w:rPr>
            <w:rStyle w:val="Hyperlink"/>
            <w:color w:val="auto"/>
          </w:rPr>
          <w:t>7</w:t>
        </w:r>
      </w:hyperlink>
      <w:r w:rsidRPr="00325988">
        <w:rPr>
          <w:rStyle w:val="rvts10"/>
          <w:color w:val="auto"/>
        </w:rPr>
        <w:t> alin.</w:t>
      </w:r>
      <w:proofErr w:type="gramEnd"/>
      <w:r w:rsidRPr="00325988">
        <w:rPr>
          <w:rStyle w:val="rvts10"/>
          <w:color w:val="auto"/>
        </w:rPr>
        <w:t xml:space="preserve"> (4) </w:t>
      </w:r>
      <w:proofErr w:type="gramStart"/>
      <w:r w:rsidRPr="00325988">
        <w:rPr>
          <w:rStyle w:val="rvts10"/>
          <w:color w:val="auto"/>
        </w:rPr>
        <w:t>din</w:t>
      </w:r>
      <w:proofErr w:type="gramEnd"/>
      <w:r w:rsidRPr="00325988">
        <w:rPr>
          <w:rStyle w:val="rvts10"/>
          <w:color w:val="auto"/>
        </w:rPr>
        <w:t xml:space="preserve"> Legea nr. 319/2006, la evaluarea riscurilor angajatorul trebuie </w:t>
      </w:r>
      <w:proofErr w:type="gramStart"/>
      <w:r w:rsidRPr="00325988">
        <w:rPr>
          <w:rStyle w:val="rvts10"/>
          <w:color w:val="auto"/>
        </w:rPr>
        <w:t>să</w:t>
      </w:r>
      <w:proofErr w:type="gramEnd"/>
      <w:r w:rsidRPr="00325988">
        <w:rPr>
          <w:rStyle w:val="rvts10"/>
          <w:color w:val="auto"/>
        </w:rPr>
        <w:t xml:space="preserve"> acorde o atenţie deosebită următoarelor elemente:</w:t>
      </w:r>
    </w:p>
    <w:p w:rsidR="00CD5567" w:rsidRPr="00325988" w:rsidRDefault="00CD5567" w:rsidP="00325988">
      <w:pPr>
        <w:pStyle w:val="NormalWeb"/>
        <w:shd w:val="clear" w:color="auto" w:fill="FFFFFF"/>
        <w:jc w:val="both"/>
      </w:pPr>
      <w:r w:rsidRPr="00325988">
        <w:rPr>
          <w:rStyle w:val="rvts10"/>
          <w:color w:val="auto"/>
        </w:rPr>
        <w:t xml:space="preserve">    a) </w:t>
      </w:r>
      <w:proofErr w:type="gramStart"/>
      <w:r w:rsidRPr="00325988">
        <w:rPr>
          <w:rStyle w:val="rvts10"/>
          <w:color w:val="auto"/>
        </w:rPr>
        <w:t>nivelului</w:t>
      </w:r>
      <w:proofErr w:type="gramEnd"/>
      <w:r w:rsidRPr="00325988">
        <w:rPr>
          <w:rStyle w:val="rvts10"/>
          <w:color w:val="auto"/>
        </w:rPr>
        <w:t>, spectrului de frecvenţă, duratei şi tipului expunerii;</w:t>
      </w:r>
    </w:p>
    <w:p w:rsidR="00CD5567" w:rsidRPr="00325988" w:rsidRDefault="00CD5567" w:rsidP="00325988">
      <w:pPr>
        <w:pStyle w:val="NormalWeb"/>
        <w:shd w:val="clear" w:color="auto" w:fill="FFFFFF"/>
        <w:jc w:val="both"/>
      </w:pPr>
      <w:r w:rsidRPr="00325988">
        <w:rPr>
          <w:rStyle w:val="rvts10"/>
          <w:color w:val="auto"/>
        </w:rPr>
        <w:t xml:space="preserve">    b) </w:t>
      </w:r>
      <w:proofErr w:type="gramStart"/>
      <w:r w:rsidRPr="00325988">
        <w:rPr>
          <w:rStyle w:val="rvts10"/>
          <w:color w:val="auto"/>
        </w:rPr>
        <w:t>valorilor</w:t>
      </w:r>
      <w:proofErr w:type="gramEnd"/>
      <w:r w:rsidRPr="00325988">
        <w:rPr>
          <w:rStyle w:val="rvts10"/>
          <w:color w:val="auto"/>
        </w:rPr>
        <w:t xml:space="preserve"> limită de expunere şi valorilor de declanşare a acţiunii, prevăzute la art. 5;</w:t>
      </w:r>
    </w:p>
    <w:p w:rsidR="00CD5567" w:rsidRPr="00325988" w:rsidRDefault="00CD5567" w:rsidP="00325988">
      <w:pPr>
        <w:pStyle w:val="NormalWeb"/>
        <w:shd w:val="clear" w:color="auto" w:fill="FFFFFF"/>
        <w:jc w:val="both"/>
      </w:pPr>
      <w:r w:rsidRPr="00325988">
        <w:rPr>
          <w:rStyle w:val="rvts10"/>
          <w:color w:val="auto"/>
        </w:rPr>
        <w:t xml:space="preserve">    c) </w:t>
      </w:r>
      <w:proofErr w:type="gramStart"/>
      <w:r w:rsidRPr="00325988">
        <w:rPr>
          <w:rStyle w:val="rvts10"/>
          <w:color w:val="auto"/>
        </w:rPr>
        <w:t>efectelor</w:t>
      </w:r>
      <w:proofErr w:type="gramEnd"/>
      <w:r w:rsidRPr="00325988">
        <w:rPr>
          <w:rStyle w:val="rvts10"/>
          <w:color w:val="auto"/>
        </w:rPr>
        <w:t xml:space="preserve"> asupra stării de sănătate şi securităţii lucrătorilor care aparţin unor grupuri sensibile la riscuri specifice;</w:t>
      </w:r>
    </w:p>
    <w:p w:rsidR="00CD5567" w:rsidRPr="00325988" w:rsidRDefault="00CD5567" w:rsidP="00325988">
      <w:pPr>
        <w:pStyle w:val="NormalWeb"/>
        <w:shd w:val="clear" w:color="auto" w:fill="FFFFFF"/>
        <w:jc w:val="both"/>
      </w:pPr>
      <w:r w:rsidRPr="00325988">
        <w:rPr>
          <w:rStyle w:val="rvts10"/>
          <w:color w:val="auto"/>
        </w:rPr>
        <w:t>    d) efectelor indirecte, cum ar fi: interferenţele cu echipamente şi dispozitive medicale electronice, inclusiv stimulatoare cardiace şi alte dispozitive implantate, riscul de proiectare a obiectelor feromagnetice în câmpuri magnetice statice având o inducţie magnetică mai mare de 3 mT, amorsarea dispozitivelor electroexplozive detonatoare, incendiile şi exploziile rezultate în urma aprinderii materialelor inflamabile datorită scânteilor provocate de câmpuri induse, curenţi de contact sau descărcări de scântei;</w:t>
      </w:r>
    </w:p>
    <w:p w:rsidR="00CD5567" w:rsidRPr="00325988" w:rsidRDefault="00CD5567" w:rsidP="00325988">
      <w:pPr>
        <w:pStyle w:val="NormalWeb"/>
        <w:shd w:val="clear" w:color="auto" w:fill="FFFFFF"/>
        <w:jc w:val="both"/>
      </w:pPr>
      <w:r w:rsidRPr="00325988">
        <w:rPr>
          <w:rStyle w:val="rvts10"/>
          <w:color w:val="auto"/>
        </w:rPr>
        <w:t xml:space="preserve">    e) </w:t>
      </w:r>
      <w:proofErr w:type="gramStart"/>
      <w:r w:rsidRPr="00325988">
        <w:rPr>
          <w:rStyle w:val="rvts10"/>
          <w:color w:val="auto"/>
        </w:rPr>
        <w:t>existenţei</w:t>
      </w:r>
      <w:proofErr w:type="gramEnd"/>
      <w:r w:rsidRPr="00325988">
        <w:rPr>
          <w:rStyle w:val="rvts10"/>
          <w:color w:val="auto"/>
        </w:rPr>
        <w:t xml:space="preserve"> unor echipamente de muncă alternative proiectate pentru a reduce nivelurile de expunere la câmpuri electromagnetice;</w:t>
      </w:r>
    </w:p>
    <w:p w:rsidR="00CD5567" w:rsidRPr="00325988" w:rsidRDefault="00CD5567" w:rsidP="00325988">
      <w:pPr>
        <w:pStyle w:val="NormalWeb"/>
        <w:shd w:val="clear" w:color="auto" w:fill="FFFFFF"/>
        <w:jc w:val="both"/>
      </w:pPr>
      <w:r w:rsidRPr="00325988">
        <w:rPr>
          <w:rStyle w:val="rvts10"/>
          <w:color w:val="auto"/>
        </w:rPr>
        <w:t xml:space="preserve">    f) </w:t>
      </w:r>
      <w:proofErr w:type="gramStart"/>
      <w:r w:rsidRPr="00325988">
        <w:rPr>
          <w:rStyle w:val="rvts10"/>
          <w:color w:val="auto"/>
        </w:rPr>
        <w:t>informaţiilor</w:t>
      </w:r>
      <w:proofErr w:type="gramEnd"/>
      <w:r w:rsidRPr="00325988">
        <w:rPr>
          <w:rStyle w:val="rvts10"/>
          <w:color w:val="auto"/>
        </w:rPr>
        <w:t xml:space="preserve"> adecvate obţinute în urma supravegherii stării de sănătate, inclusiv informaţiilor publicate, atunci când este posibil;</w:t>
      </w:r>
    </w:p>
    <w:p w:rsidR="00CD5567" w:rsidRPr="00325988" w:rsidRDefault="00CD5567" w:rsidP="00325988">
      <w:pPr>
        <w:pStyle w:val="NormalWeb"/>
        <w:shd w:val="clear" w:color="auto" w:fill="FFFFFF"/>
        <w:jc w:val="both"/>
      </w:pPr>
      <w:r w:rsidRPr="00325988">
        <w:rPr>
          <w:rStyle w:val="rvts10"/>
          <w:color w:val="auto"/>
        </w:rPr>
        <w:t xml:space="preserve">    g) </w:t>
      </w:r>
      <w:proofErr w:type="gramStart"/>
      <w:r w:rsidRPr="00325988">
        <w:rPr>
          <w:rStyle w:val="rvts10"/>
          <w:color w:val="auto"/>
        </w:rPr>
        <w:t>surselor</w:t>
      </w:r>
      <w:proofErr w:type="gramEnd"/>
      <w:r w:rsidRPr="00325988">
        <w:rPr>
          <w:rStyle w:val="rvts10"/>
          <w:color w:val="auto"/>
        </w:rPr>
        <w:t xml:space="preserve"> de expunere multiple;</w:t>
      </w:r>
    </w:p>
    <w:p w:rsidR="00CD5567" w:rsidRPr="00325988" w:rsidRDefault="00CD5567" w:rsidP="00325988">
      <w:pPr>
        <w:pStyle w:val="NormalWeb"/>
        <w:shd w:val="clear" w:color="auto" w:fill="FFFFFF"/>
        <w:jc w:val="both"/>
      </w:pPr>
      <w:r w:rsidRPr="00325988">
        <w:rPr>
          <w:rStyle w:val="rvts10"/>
          <w:color w:val="auto"/>
        </w:rPr>
        <w:t xml:space="preserve">    h) </w:t>
      </w:r>
      <w:proofErr w:type="gramStart"/>
      <w:r w:rsidRPr="00325988">
        <w:rPr>
          <w:rStyle w:val="rvts10"/>
          <w:color w:val="auto"/>
        </w:rPr>
        <w:t>expunerii</w:t>
      </w:r>
      <w:proofErr w:type="gramEnd"/>
      <w:r w:rsidRPr="00325988">
        <w:rPr>
          <w:rStyle w:val="rvts10"/>
          <w:color w:val="auto"/>
        </w:rPr>
        <w:t xml:space="preserve"> simultane la câmpuri de frecvenţe multiple.</w:t>
      </w:r>
    </w:p>
    <w:p w:rsidR="00CD5567" w:rsidRPr="00325988" w:rsidRDefault="00CD5567" w:rsidP="00325988">
      <w:pPr>
        <w:pStyle w:val="NormalWeb"/>
        <w:shd w:val="clear" w:color="auto" w:fill="FFFFFF"/>
        <w:jc w:val="both"/>
      </w:pPr>
      <w:bookmarkStart w:id="19" w:name="1532236"/>
      <w:bookmarkEnd w:id="19"/>
      <w:r w:rsidRPr="00325988">
        <w:rPr>
          <w:rStyle w:val="rvts9"/>
        </w:rPr>
        <w:t>    Art. 13</w:t>
      </w:r>
      <w:r w:rsidRPr="00325988">
        <w:rPr>
          <w:rStyle w:val="rvts14"/>
        </w:rPr>
        <w:t> - </w:t>
      </w:r>
      <w:r w:rsidRPr="00325988">
        <w:rPr>
          <w:rStyle w:val="rvts10"/>
          <w:color w:val="auto"/>
        </w:rPr>
        <w:t xml:space="preserve">(1) Angajatorul trebuie </w:t>
      </w:r>
      <w:proofErr w:type="gramStart"/>
      <w:r w:rsidRPr="00325988">
        <w:rPr>
          <w:rStyle w:val="rvts10"/>
          <w:color w:val="auto"/>
        </w:rPr>
        <w:t>să</w:t>
      </w:r>
      <w:proofErr w:type="gramEnd"/>
      <w:r w:rsidRPr="00325988">
        <w:rPr>
          <w:rStyle w:val="rvts10"/>
          <w:color w:val="auto"/>
        </w:rPr>
        <w:t xml:space="preserve"> deţină o evaluare a riscurilor, în conformitate cu </w:t>
      </w:r>
      <w:hyperlink r:id="rId34" w:history="1">
        <w:r w:rsidRPr="00325988">
          <w:rPr>
            <w:rStyle w:val="Hyperlink"/>
            <w:color w:val="auto"/>
          </w:rPr>
          <w:t xml:space="preserve">art. </w:t>
        </w:r>
        <w:proofErr w:type="gramStart"/>
        <w:r w:rsidRPr="00325988">
          <w:rPr>
            <w:rStyle w:val="Hyperlink"/>
            <w:color w:val="auto"/>
          </w:rPr>
          <w:t>12</w:t>
        </w:r>
      </w:hyperlink>
      <w:r w:rsidRPr="00325988">
        <w:rPr>
          <w:rStyle w:val="rvts10"/>
          <w:color w:val="auto"/>
        </w:rPr>
        <w:t> alin.</w:t>
      </w:r>
      <w:proofErr w:type="gramEnd"/>
      <w:r w:rsidRPr="00325988">
        <w:rPr>
          <w:rStyle w:val="rvts10"/>
          <w:color w:val="auto"/>
        </w:rPr>
        <w:t xml:space="preserve"> (1) </w:t>
      </w:r>
      <w:proofErr w:type="gramStart"/>
      <w:r w:rsidRPr="00325988">
        <w:rPr>
          <w:rStyle w:val="rvts10"/>
          <w:color w:val="auto"/>
        </w:rPr>
        <w:t>lit</w:t>
      </w:r>
      <w:proofErr w:type="gramEnd"/>
      <w:r w:rsidRPr="00325988">
        <w:rPr>
          <w:rStyle w:val="rvts10"/>
          <w:color w:val="auto"/>
        </w:rPr>
        <w:t xml:space="preserve">. a) </w:t>
      </w:r>
      <w:proofErr w:type="gramStart"/>
      <w:r w:rsidRPr="00325988">
        <w:rPr>
          <w:rStyle w:val="rvts10"/>
          <w:color w:val="auto"/>
        </w:rPr>
        <w:t>din</w:t>
      </w:r>
      <w:proofErr w:type="gramEnd"/>
      <w:r w:rsidRPr="00325988">
        <w:rPr>
          <w:rStyle w:val="rvts10"/>
          <w:color w:val="auto"/>
        </w:rPr>
        <w:t xml:space="preserve"> Legea nr. 319/2006, şi trebuie </w:t>
      </w:r>
      <w:proofErr w:type="gramStart"/>
      <w:r w:rsidRPr="00325988">
        <w:rPr>
          <w:rStyle w:val="rvts10"/>
          <w:color w:val="auto"/>
        </w:rPr>
        <w:t>să</w:t>
      </w:r>
      <w:proofErr w:type="gramEnd"/>
      <w:r w:rsidRPr="00325988">
        <w:rPr>
          <w:rStyle w:val="rvts10"/>
          <w:color w:val="auto"/>
        </w:rPr>
        <w:t xml:space="preserve"> stabilească măsurile care trebuie luate pentru securitatea şi sănătatea lucrătorilor, în conformitate cu </w:t>
      </w:r>
      <w:hyperlink r:id="rId35" w:history="1">
        <w:r w:rsidRPr="00325988">
          <w:rPr>
            <w:rStyle w:val="Hyperlink"/>
            <w:color w:val="auto"/>
          </w:rPr>
          <w:t>art. 14</w:t>
        </w:r>
      </w:hyperlink>
      <w:r w:rsidRPr="00325988">
        <w:rPr>
          <w:rStyle w:val="rvts10"/>
          <w:color w:val="auto"/>
        </w:rPr>
        <w:t> - </w:t>
      </w:r>
      <w:hyperlink r:id="rId36" w:history="1">
        <w:r w:rsidRPr="00325988">
          <w:rPr>
            <w:rStyle w:val="Hyperlink"/>
            <w:color w:val="auto"/>
          </w:rPr>
          <w:t>20</w:t>
        </w:r>
      </w:hyperlink>
      <w:r w:rsidRPr="00325988">
        <w:rPr>
          <w:rStyle w:val="rvts10"/>
          <w:color w:val="auto"/>
        </w:rPr>
        <w:t>.</w:t>
      </w:r>
    </w:p>
    <w:p w:rsidR="00CD5567" w:rsidRPr="00325988" w:rsidRDefault="00CD5567" w:rsidP="00325988">
      <w:pPr>
        <w:pStyle w:val="NormalWeb"/>
        <w:shd w:val="clear" w:color="auto" w:fill="FFFFFF"/>
        <w:jc w:val="both"/>
      </w:pPr>
      <w:r w:rsidRPr="00325988">
        <w:rPr>
          <w:rStyle w:val="rvts10"/>
          <w:color w:val="auto"/>
        </w:rPr>
        <w:t xml:space="preserve">    (2) Evaluarea riscurilor trebuie </w:t>
      </w:r>
      <w:proofErr w:type="gramStart"/>
      <w:r w:rsidRPr="00325988">
        <w:rPr>
          <w:rStyle w:val="rvts10"/>
          <w:color w:val="auto"/>
        </w:rPr>
        <w:t>să</w:t>
      </w:r>
      <w:proofErr w:type="gramEnd"/>
      <w:r w:rsidRPr="00325988">
        <w:rPr>
          <w:rStyle w:val="rvts10"/>
          <w:color w:val="auto"/>
        </w:rPr>
        <w:t xml:space="preserve"> fie înregistrată pe un suport adecvat care să asigure păstrarea datelor.</w:t>
      </w:r>
    </w:p>
    <w:p w:rsidR="00CD5567" w:rsidRPr="00325988" w:rsidRDefault="00CD5567" w:rsidP="00325988">
      <w:pPr>
        <w:pStyle w:val="NormalWeb"/>
        <w:shd w:val="clear" w:color="auto" w:fill="FFFFFF"/>
        <w:jc w:val="both"/>
      </w:pPr>
      <w:r w:rsidRPr="00325988">
        <w:rPr>
          <w:rStyle w:val="rvts10"/>
          <w:color w:val="auto"/>
        </w:rPr>
        <w:t xml:space="preserve">    (3) Atunci când natura şi amploarea riscurilor legate de câmpurile electromagnetice nu justifică o evaluare mai detaliată a riscurilor, evaluarea riscurilor trebuie </w:t>
      </w:r>
      <w:proofErr w:type="gramStart"/>
      <w:r w:rsidRPr="00325988">
        <w:rPr>
          <w:rStyle w:val="rvts10"/>
          <w:color w:val="auto"/>
        </w:rPr>
        <w:t>să</w:t>
      </w:r>
      <w:proofErr w:type="gramEnd"/>
      <w:r w:rsidRPr="00325988">
        <w:rPr>
          <w:rStyle w:val="rvts10"/>
          <w:color w:val="auto"/>
        </w:rPr>
        <w:t xml:space="preserve"> conţină argumente prezentate de angajator pentru a justifica acest fapt.</w:t>
      </w:r>
    </w:p>
    <w:p w:rsidR="00CD5567" w:rsidRPr="00325988" w:rsidRDefault="00CD5567" w:rsidP="00325988">
      <w:pPr>
        <w:pStyle w:val="NormalWeb"/>
        <w:shd w:val="clear" w:color="auto" w:fill="FFFFFF"/>
        <w:jc w:val="both"/>
      </w:pPr>
      <w:r w:rsidRPr="00325988">
        <w:rPr>
          <w:rStyle w:val="rvts10"/>
          <w:color w:val="auto"/>
        </w:rPr>
        <w:t xml:space="preserve">    (4) Evaluarea riscurilor trebuie </w:t>
      </w:r>
      <w:proofErr w:type="gramStart"/>
      <w:r w:rsidRPr="00325988">
        <w:rPr>
          <w:rStyle w:val="rvts10"/>
          <w:color w:val="auto"/>
        </w:rPr>
        <w:t>să</w:t>
      </w:r>
      <w:proofErr w:type="gramEnd"/>
      <w:r w:rsidRPr="00325988">
        <w:rPr>
          <w:rStyle w:val="rvts10"/>
          <w:color w:val="auto"/>
        </w:rPr>
        <w:t xml:space="preserve"> fie actualizată periodic şi ori de câte ori s-au produs modificări semnificative în urma cărora aceasta poate deveni caducă sau atunci când rezultatele supravegherii medicale demonstrează că este necesar.</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20" w:name="1532237"/>
      <w:bookmarkEnd w:id="20"/>
      <w:r w:rsidRPr="00325988">
        <w:rPr>
          <w:rStyle w:val="rvts9"/>
        </w:rPr>
        <w:t>    </w:t>
      </w:r>
      <w:r w:rsidRPr="00325988">
        <w:rPr>
          <w:rStyle w:val="rvts12"/>
        </w:rPr>
        <w:t>Secţiunea a 2-a</w:t>
      </w:r>
      <w:r w:rsidRPr="00325988">
        <w:rPr>
          <w:rStyle w:val="rvts10"/>
          <w:color w:val="auto"/>
        </w:rPr>
        <w:t>    </w:t>
      </w:r>
      <w:r w:rsidRPr="00325988">
        <w:rPr>
          <w:rStyle w:val="rvts13"/>
          <w:color w:val="auto"/>
        </w:rPr>
        <w:t>Evitarea sau reducerea riscurilor generate de câmpurile electromagnetice</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21" w:name="1532238"/>
      <w:bookmarkEnd w:id="21"/>
      <w:r w:rsidRPr="00325988">
        <w:rPr>
          <w:rStyle w:val="rvts9"/>
        </w:rPr>
        <w:t>    Art. 14</w:t>
      </w:r>
      <w:r w:rsidRPr="00325988">
        <w:rPr>
          <w:rStyle w:val="rvts14"/>
        </w:rPr>
        <w:t> - </w:t>
      </w:r>
      <w:r w:rsidRPr="00325988">
        <w:rPr>
          <w:rStyle w:val="rvts10"/>
          <w:color w:val="auto"/>
        </w:rPr>
        <w:t xml:space="preserve">Riscurile generate de expunerea la câmpuri electromagnetice trebuie </w:t>
      </w:r>
      <w:proofErr w:type="gramStart"/>
      <w:r w:rsidRPr="00325988">
        <w:rPr>
          <w:rStyle w:val="rvts10"/>
          <w:color w:val="auto"/>
        </w:rPr>
        <w:t>să</w:t>
      </w:r>
      <w:proofErr w:type="gramEnd"/>
      <w:r w:rsidRPr="00325988">
        <w:rPr>
          <w:rStyle w:val="rvts10"/>
          <w:color w:val="auto"/>
        </w:rPr>
        <w:t xml:space="preserve"> fie eliminate sau reduse la minimum, ţinându-se seama de progresul tehnic şi de existenţa măsurilor de control al riscului la sursă.</w:t>
      </w:r>
    </w:p>
    <w:p w:rsidR="00CD5567" w:rsidRPr="00325988" w:rsidRDefault="00CD5567" w:rsidP="00325988">
      <w:pPr>
        <w:pStyle w:val="NormalWeb"/>
        <w:shd w:val="clear" w:color="auto" w:fill="FFFFFF"/>
        <w:jc w:val="both"/>
      </w:pPr>
      <w:bookmarkStart w:id="22" w:name="1532239"/>
      <w:bookmarkEnd w:id="22"/>
      <w:r w:rsidRPr="00325988">
        <w:rPr>
          <w:rStyle w:val="rvts9"/>
        </w:rPr>
        <w:t>    Art. 15</w:t>
      </w:r>
      <w:r w:rsidRPr="00325988">
        <w:rPr>
          <w:rStyle w:val="rvts14"/>
        </w:rPr>
        <w:t> - </w:t>
      </w:r>
      <w:r w:rsidRPr="00325988">
        <w:rPr>
          <w:rStyle w:val="rvts10"/>
          <w:color w:val="auto"/>
        </w:rPr>
        <w:t>Reducerea riscurilor rezultate din expunerea la câmpuri electromagnetice se bazează pe principiile generale de prevenire prevăzute de </w:t>
      </w:r>
      <w:hyperlink r:id="rId37" w:history="1">
        <w:r w:rsidRPr="00325988">
          <w:rPr>
            <w:rStyle w:val="Hyperlink"/>
            <w:color w:val="auto"/>
          </w:rPr>
          <w:t xml:space="preserve">Legea nr. </w:t>
        </w:r>
        <w:proofErr w:type="gramStart"/>
        <w:r w:rsidRPr="00325988">
          <w:rPr>
            <w:rStyle w:val="Hyperlink"/>
            <w:color w:val="auto"/>
          </w:rPr>
          <w:t>319/2006</w:t>
        </w:r>
      </w:hyperlink>
      <w:r w:rsidRPr="00325988">
        <w:rPr>
          <w:rStyle w:val="rvts10"/>
          <w:color w:val="auto"/>
        </w:rPr>
        <w:t>.</w:t>
      </w:r>
      <w:proofErr w:type="gramEnd"/>
    </w:p>
    <w:p w:rsidR="00CD5567" w:rsidRPr="00325988" w:rsidRDefault="00CD5567" w:rsidP="00325988">
      <w:pPr>
        <w:pStyle w:val="NormalWeb"/>
        <w:shd w:val="clear" w:color="auto" w:fill="FFFFFF"/>
        <w:jc w:val="both"/>
      </w:pPr>
      <w:bookmarkStart w:id="23" w:name="1532240"/>
      <w:bookmarkEnd w:id="23"/>
      <w:r w:rsidRPr="00325988">
        <w:rPr>
          <w:rStyle w:val="rvts9"/>
        </w:rPr>
        <w:t>    Art. 16</w:t>
      </w:r>
      <w:r w:rsidRPr="00325988">
        <w:rPr>
          <w:rStyle w:val="rvts14"/>
        </w:rPr>
        <w:t> - </w:t>
      </w:r>
      <w:r w:rsidRPr="00325988">
        <w:rPr>
          <w:rStyle w:val="rvts10"/>
          <w:color w:val="auto"/>
        </w:rPr>
        <w:t xml:space="preserve">Pe baza evaluării riscurilor, efectuată în conformitate cu art. 7 - 13, atunci când sunt depăşite valorile de declanşare </w:t>
      </w:r>
      <w:proofErr w:type="gramStart"/>
      <w:r w:rsidRPr="00325988">
        <w:rPr>
          <w:rStyle w:val="rvts10"/>
          <w:color w:val="auto"/>
        </w:rPr>
        <w:t>a</w:t>
      </w:r>
      <w:proofErr w:type="gramEnd"/>
      <w:r w:rsidRPr="00325988">
        <w:rPr>
          <w:rStyle w:val="rvts10"/>
          <w:color w:val="auto"/>
        </w:rPr>
        <w:t xml:space="preserve"> acţiunii prevăzute la art. </w:t>
      </w:r>
      <w:proofErr w:type="gramStart"/>
      <w:r w:rsidRPr="00325988">
        <w:rPr>
          <w:rStyle w:val="rvts10"/>
          <w:color w:val="auto"/>
        </w:rPr>
        <w:t>5, cu excepţia cazului în care evaluarea efectuată în conformitate cu art.</w:t>
      </w:r>
      <w:proofErr w:type="gramEnd"/>
      <w:r w:rsidRPr="00325988">
        <w:rPr>
          <w:rStyle w:val="rvts10"/>
          <w:color w:val="auto"/>
        </w:rPr>
        <w:t xml:space="preserve"> 8 demonstrează că expunerea nu depăşeşte valorile limită şi că este exclus orice risc legat de securitate, angajatorul trebuie să stabilească şi să pună în aplicare un program de măsuri tehnice şi/sau organizatorice care urmăresc ca expunerea să nu depăşească valorile limită de expunere, ţinându-se seama, în special, de următoarele elemente:</w:t>
      </w:r>
    </w:p>
    <w:p w:rsidR="00CD5567" w:rsidRPr="00325988" w:rsidRDefault="00CD5567" w:rsidP="00325988">
      <w:pPr>
        <w:pStyle w:val="NormalWeb"/>
        <w:shd w:val="clear" w:color="auto" w:fill="FFFFFF"/>
        <w:jc w:val="both"/>
      </w:pPr>
      <w:r w:rsidRPr="00325988">
        <w:rPr>
          <w:rStyle w:val="rvts10"/>
          <w:color w:val="auto"/>
        </w:rPr>
        <w:t xml:space="preserve">    a) </w:t>
      </w:r>
      <w:proofErr w:type="gramStart"/>
      <w:r w:rsidRPr="00325988">
        <w:rPr>
          <w:rStyle w:val="rvts10"/>
          <w:color w:val="auto"/>
        </w:rPr>
        <w:t>alte</w:t>
      </w:r>
      <w:proofErr w:type="gramEnd"/>
      <w:r w:rsidRPr="00325988">
        <w:rPr>
          <w:rStyle w:val="rvts10"/>
          <w:color w:val="auto"/>
        </w:rPr>
        <w:t xml:space="preserve"> metode de lucru care să conducă la o expunere mai redusă la câmpuri electromagnetice;</w:t>
      </w:r>
    </w:p>
    <w:p w:rsidR="00CD5567" w:rsidRPr="00325988" w:rsidRDefault="00CD5567" w:rsidP="00325988">
      <w:pPr>
        <w:pStyle w:val="NormalWeb"/>
        <w:shd w:val="clear" w:color="auto" w:fill="FFFFFF"/>
        <w:jc w:val="both"/>
      </w:pPr>
      <w:r w:rsidRPr="00325988">
        <w:rPr>
          <w:rStyle w:val="rvts10"/>
          <w:color w:val="auto"/>
        </w:rPr>
        <w:t xml:space="preserve">    b) </w:t>
      </w:r>
      <w:proofErr w:type="gramStart"/>
      <w:r w:rsidRPr="00325988">
        <w:rPr>
          <w:rStyle w:val="rvts10"/>
          <w:color w:val="auto"/>
        </w:rPr>
        <w:t>alegerea</w:t>
      </w:r>
      <w:proofErr w:type="gramEnd"/>
      <w:r w:rsidRPr="00325988">
        <w:rPr>
          <w:rStyle w:val="rvts10"/>
          <w:color w:val="auto"/>
        </w:rPr>
        <w:t xml:space="preserve"> unor echipamente care emit mai puţine câmpuri electromagnetice, luând în considerare activitatea care se efectuează;</w:t>
      </w:r>
    </w:p>
    <w:p w:rsidR="00CD5567" w:rsidRPr="00325988" w:rsidRDefault="00CD5567" w:rsidP="00325988">
      <w:pPr>
        <w:pStyle w:val="NormalWeb"/>
        <w:shd w:val="clear" w:color="auto" w:fill="FFFFFF"/>
        <w:jc w:val="both"/>
      </w:pPr>
      <w:r w:rsidRPr="00325988">
        <w:rPr>
          <w:rStyle w:val="rvts10"/>
          <w:color w:val="auto"/>
        </w:rPr>
        <w:t xml:space="preserve">    c) </w:t>
      </w:r>
      <w:proofErr w:type="gramStart"/>
      <w:r w:rsidRPr="00325988">
        <w:rPr>
          <w:rStyle w:val="rvts10"/>
          <w:color w:val="auto"/>
        </w:rPr>
        <w:t>măsuri</w:t>
      </w:r>
      <w:proofErr w:type="gramEnd"/>
      <w:r w:rsidRPr="00325988">
        <w:rPr>
          <w:rStyle w:val="rvts10"/>
          <w:color w:val="auto"/>
        </w:rPr>
        <w:t xml:space="preserve"> tehnice prin care se urmăreşte reducerea emisiei câmpurilor electromagnetice, inclusiv, dacă este necesar, recurgerea la mecanisme de blocare, ecranare sau mecanisme similare de protecţie a stării de sănătate;</w:t>
      </w:r>
    </w:p>
    <w:p w:rsidR="00CD5567" w:rsidRPr="00325988" w:rsidRDefault="00CD5567" w:rsidP="00325988">
      <w:pPr>
        <w:pStyle w:val="NormalWeb"/>
        <w:shd w:val="clear" w:color="auto" w:fill="FFFFFF"/>
        <w:jc w:val="both"/>
      </w:pPr>
      <w:r w:rsidRPr="00325988">
        <w:rPr>
          <w:rStyle w:val="rvts10"/>
          <w:color w:val="auto"/>
        </w:rPr>
        <w:t xml:space="preserve">    d) </w:t>
      </w:r>
      <w:proofErr w:type="gramStart"/>
      <w:r w:rsidRPr="00325988">
        <w:rPr>
          <w:rStyle w:val="rvts10"/>
          <w:color w:val="auto"/>
        </w:rPr>
        <w:t>programe</w:t>
      </w:r>
      <w:proofErr w:type="gramEnd"/>
      <w:r w:rsidRPr="00325988">
        <w:rPr>
          <w:rStyle w:val="rvts10"/>
          <w:color w:val="auto"/>
        </w:rPr>
        <w:t xml:space="preserve"> adecvate de întreţinere a echipamentelor de muncă, a locului de muncă şi a posturilor de lucru;</w:t>
      </w:r>
    </w:p>
    <w:p w:rsidR="00CD5567" w:rsidRPr="00325988" w:rsidRDefault="00CD5567" w:rsidP="00325988">
      <w:pPr>
        <w:pStyle w:val="NormalWeb"/>
        <w:shd w:val="clear" w:color="auto" w:fill="FFFFFF"/>
        <w:jc w:val="both"/>
      </w:pPr>
      <w:r w:rsidRPr="00325988">
        <w:rPr>
          <w:rStyle w:val="rvts10"/>
          <w:color w:val="auto"/>
        </w:rPr>
        <w:t xml:space="preserve">    e) </w:t>
      </w:r>
      <w:proofErr w:type="gramStart"/>
      <w:r w:rsidRPr="00325988">
        <w:rPr>
          <w:rStyle w:val="rvts10"/>
          <w:color w:val="auto"/>
        </w:rPr>
        <w:t>proiectarea</w:t>
      </w:r>
      <w:proofErr w:type="gramEnd"/>
      <w:r w:rsidRPr="00325988">
        <w:rPr>
          <w:rStyle w:val="rvts10"/>
          <w:color w:val="auto"/>
        </w:rPr>
        <w:t xml:space="preserve"> şi amenajarea locurilor de muncă şi a posturilor de lucru;</w:t>
      </w:r>
    </w:p>
    <w:p w:rsidR="00CD5567" w:rsidRPr="00325988" w:rsidRDefault="00CD5567" w:rsidP="00325988">
      <w:pPr>
        <w:pStyle w:val="NormalWeb"/>
        <w:shd w:val="clear" w:color="auto" w:fill="FFFFFF"/>
        <w:jc w:val="both"/>
      </w:pPr>
      <w:r w:rsidRPr="00325988">
        <w:rPr>
          <w:rStyle w:val="rvts10"/>
          <w:color w:val="auto"/>
        </w:rPr>
        <w:t xml:space="preserve">    f) </w:t>
      </w:r>
      <w:proofErr w:type="gramStart"/>
      <w:r w:rsidRPr="00325988">
        <w:rPr>
          <w:rStyle w:val="rvts10"/>
          <w:color w:val="auto"/>
        </w:rPr>
        <w:t>limitarea</w:t>
      </w:r>
      <w:proofErr w:type="gramEnd"/>
      <w:r w:rsidRPr="00325988">
        <w:rPr>
          <w:rStyle w:val="rvts10"/>
          <w:color w:val="auto"/>
        </w:rPr>
        <w:t xml:space="preserve"> duratei şi a intensităţii expunerii;</w:t>
      </w:r>
    </w:p>
    <w:p w:rsidR="00CD5567" w:rsidRPr="00325988" w:rsidRDefault="00CD5567" w:rsidP="00325988">
      <w:pPr>
        <w:pStyle w:val="NormalWeb"/>
        <w:shd w:val="clear" w:color="auto" w:fill="FFFFFF"/>
        <w:jc w:val="both"/>
      </w:pPr>
      <w:r w:rsidRPr="00325988">
        <w:rPr>
          <w:rStyle w:val="rvts10"/>
          <w:color w:val="auto"/>
        </w:rPr>
        <w:t xml:space="preserve">    g) </w:t>
      </w:r>
      <w:proofErr w:type="gramStart"/>
      <w:r w:rsidRPr="00325988">
        <w:rPr>
          <w:rStyle w:val="rvts10"/>
          <w:color w:val="auto"/>
        </w:rPr>
        <w:t>disponibilitatea</w:t>
      </w:r>
      <w:proofErr w:type="gramEnd"/>
      <w:r w:rsidRPr="00325988">
        <w:rPr>
          <w:rStyle w:val="rvts10"/>
          <w:color w:val="auto"/>
        </w:rPr>
        <w:t xml:space="preserve"> unui echipament adecvat de protecţie individuală.</w:t>
      </w:r>
    </w:p>
    <w:p w:rsidR="00CD5567" w:rsidRPr="00325988" w:rsidRDefault="00CD5567" w:rsidP="00325988">
      <w:pPr>
        <w:pStyle w:val="NormalWeb"/>
        <w:shd w:val="clear" w:color="auto" w:fill="FFFFFF"/>
        <w:jc w:val="both"/>
      </w:pPr>
      <w:bookmarkStart w:id="24" w:name="1532241"/>
      <w:bookmarkEnd w:id="24"/>
      <w:r w:rsidRPr="00325988">
        <w:rPr>
          <w:rStyle w:val="rvts9"/>
        </w:rPr>
        <w:t>    Art. 17</w:t>
      </w:r>
      <w:r w:rsidRPr="00325988">
        <w:rPr>
          <w:rStyle w:val="rvts14"/>
        </w:rPr>
        <w:t> - </w:t>
      </w:r>
      <w:r w:rsidRPr="00325988">
        <w:rPr>
          <w:rStyle w:val="rvts10"/>
          <w:color w:val="auto"/>
        </w:rPr>
        <w:t>(1) Pe baza evaluării riscurilor, prevăzută la art. 7 - 13, locurile de muncă la care lucrătorii pot fi expuşi la câmpuri electromagnetice care depăşesc valorile de declanşare a acţiunii trebuie să fie semnalizate corespunzător, în conformitate cu prevederile </w:t>
      </w:r>
      <w:hyperlink r:id="rId38" w:history="1">
        <w:r w:rsidRPr="00325988">
          <w:rPr>
            <w:rStyle w:val="Hyperlink"/>
            <w:color w:val="auto"/>
          </w:rPr>
          <w:t>Hot</w:t>
        </w:r>
      </w:hyperlink>
      <w:hyperlink r:id="rId39" w:history="1">
        <w:r w:rsidRPr="00325988">
          <w:rPr>
            <w:rStyle w:val="Hyperlink"/>
            <w:color w:val="auto"/>
          </w:rPr>
          <w:t>ă</w:t>
        </w:r>
      </w:hyperlink>
      <w:hyperlink r:id="rId40" w:history="1">
        <w:r w:rsidRPr="00325988">
          <w:rPr>
            <w:rStyle w:val="Hyperlink"/>
            <w:color w:val="auto"/>
          </w:rPr>
          <w:t>r</w:t>
        </w:r>
      </w:hyperlink>
      <w:hyperlink r:id="rId41" w:history="1">
        <w:r w:rsidRPr="00325988">
          <w:rPr>
            <w:rStyle w:val="Hyperlink"/>
            <w:color w:val="auto"/>
          </w:rPr>
          <w:t>â</w:t>
        </w:r>
      </w:hyperlink>
      <w:hyperlink r:id="rId42" w:history="1">
        <w:r w:rsidRPr="00325988">
          <w:rPr>
            <w:rStyle w:val="Hyperlink"/>
            <w:color w:val="auto"/>
          </w:rPr>
          <w:t xml:space="preserve">rii Guvernului nr. </w:t>
        </w:r>
        <w:proofErr w:type="gramStart"/>
        <w:r w:rsidRPr="00325988">
          <w:rPr>
            <w:rStyle w:val="Hyperlink"/>
            <w:color w:val="auto"/>
          </w:rPr>
          <w:t>971/2006</w:t>
        </w:r>
      </w:hyperlink>
      <w:r w:rsidRPr="00325988">
        <w:rPr>
          <w:rStyle w:val="rvts10"/>
          <w:color w:val="auto"/>
        </w:rPr>
        <w:t> privind cerinţele minime pentru semnalizarea de securitate şi/sau sănătate la locul de muncă, cu excepţia cazului în care evaluarea efectuată în conformitate cu art.</w:t>
      </w:r>
      <w:proofErr w:type="gramEnd"/>
      <w:r w:rsidRPr="00325988">
        <w:rPr>
          <w:rStyle w:val="rvts10"/>
          <w:color w:val="auto"/>
        </w:rPr>
        <w:t xml:space="preserve"> 8 demonstrează că expunerea nu depăşeşte valorile limită şi că </w:t>
      </w:r>
      <w:proofErr w:type="gramStart"/>
      <w:r w:rsidRPr="00325988">
        <w:rPr>
          <w:rStyle w:val="rvts10"/>
          <w:color w:val="auto"/>
        </w:rPr>
        <w:t>este</w:t>
      </w:r>
      <w:proofErr w:type="gramEnd"/>
      <w:r w:rsidRPr="00325988">
        <w:rPr>
          <w:rStyle w:val="rvts10"/>
          <w:color w:val="auto"/>
        </w:rPr>
        <w:t xml:space="preserve"> exclus orice risc legat de securitate.</w:t>
      </w:r>
    </w:p>
    <w:p w:rsidR="00CD5567" w:rsidRPr="00325988" w:rsidRDefault="00CD5567" w:rsidP="00325988">
      <w:pPr>
        <w:pStyle w:val="NormalWeb"/>
        <w:shd w:val="clear" w:color="auto" w:fill="FFFFFF"/>
        <w:jc w:val="both"/>
      </w:pPr>
      <w:r w:rsidRPr="00325988">
        <w:rPr>
          <w:rStyle w:val="rvts10"/>
          <w:color w:val="auto"/>
        </w:rPr>
        <w:t xml:space="preserve">    (2) Locurile de muncă prevăzute la alin. (1) </w:t>
      </w:r>
      <w:proofErr w:type="gramStart"/>
      <w:r w:rsidRPr="00325988">
        <w:rPr>
          <w:rStyle w:val="rvts10"/>
          <w:color w:val="auto"/>
        </w:rPr>
        <w:t>trebuie</w:t>
      </w:r>
      <w:proofErr w:type="gramEnd"/>
      <w:r w:rsidRPr="00325988">
        <w:rPr>
          <w:rStyle w:val="rvts10"/>
          <w:color w:val="auto"/>
        </w:rPr>
        <w:t xml:space="preserve"> să fie identificate şi accesul la acestea să fie limitat, unde este posibil tehnic şi există riscul depăşirii valorilor limită de expunere.</w:t>
      </w:r>
    </w:p>
    <w:p w:rsidR="00CD5567" w:rsidRPr="00325988" w:rsidRDefault="00CD5567" w:rsidP="00325988">
      <w:pPr>
        <w:pStyle w:val="NormalWeb"/>
        <w:shd w:val="clear" w:color="auto" w:fill="FFFFFF"/>
        <w:jc w:val="both"/>
      </w:pPr>
      <w:bookmarkStart w:id="25" w:name="1532242"/>
      <w:bookmarkEnd w:id="25"/>
      <w:r w:rsidRPr="00325988">
        <w:rPr>
          <w:rStyle w:val="rvts9"/>
        </w:rPr>
        <w:t>    Art. 18</w:t>
      </w:r>
      <w:r w:rsidRPr="00325988">
        <w:rPr>
          <w:rStyle w:val="rvts14"/>
        </w:rPr>
        <w:t> - </w:t>
      </w:r>
      <w:r w:rsidRPr="00325988">
        <w:rPr>
          <w:rStyle w:val="rvts10"/>
          <w:color w:val="auto"/>
        </w:rPr>
        <w:t xml:space="preserve">(1) În nicio situaţie lucrătorii nu trebuie </w:t>
      </w:r>
      <w:proofErr w:type="gramStart"/>
      <w:r w:rsidRPr="00325988">
        <w:rPr>
          <w:rStyle w:val="rvts10"/>
          <w:color w:val="auto"/>
        </w:rPr>
        <w:t>să</w:t>
      </w:r>
      <w:proofErr w:type="gramEnd"/>
      <w:r w:rsidRPr="00325988">
        <w:rPr>
          <w:rStyle w:val="rvts10"/>
          <w:color w:val="auto"/>
        </w:rPr>
        <w:t xml:space="preserve"> fie expuşi la valori ale câmpului electromagnetic care depăşesc valorile limită de expunere.</w:t>
      </w:r>
    </w:p>
    <w:p w:rsidR="00CD5567" w:rsidRPr="00325988" w:rsidRDefault="00CD5567" w:rsidP="00325988">
      <w:pPr>
        <w:pStyle w:val="NormalWeb"/>
        <w:shd w:val="clear" w:color="auto" w:fill="FFFFFF"/>
        <w:jc w:val="both"/>
      </w:pPr>
      <w:r w:rsidRPr="00325988">
        <w:rPr>
          <w:rStyle w:val="rvts10"/>
          <w:color w:val="auto"/>
        </w:rPr>
        <w:t>    (2) Dacă expunerea depăşeşte valorile limită, în pofida măsurilor luate de angajator pentru aplicarea prezentei hotărâri, acesta trebuie să ia imediat măsuri de reducere a expunerii la un nivel inferior valorilor limită, să determine cauzele depăşirii valorilor limită de expunere şi să modifice în consecinţă măsurile de protecţie şi prevenire, pentru a evita orice altă depăşire.</w:t>
      </w:r>
    </w:p>
    <w:p w:rsidR="00CD5567" w:rsidRPr="00325988" w:rsidRDefault="00CD5567" w:rsidP="00325988">
      <w:pPr>
        <w:pStyle w:val="NormalWeb"/>
        <w:shd w:val="clear" w:color="auto" w:fill="FFFFFF"/>
        <w:jc w:val="both"/>
      </w:pPr>
      <w:bookmarkStart w:id="26" w:name="1532243"/>
      <w:bookmarkEnd w:id="26"/>
      <w:r w:rsidRPr="00325988">
        <w:rPr>
          <w:rStyle w:val="rvts9"/>
        </w:rPr>
        <w:t>    Art. 19</w:t>
      </w:r>
      <w:r w:rsidRPr="00325988">
        <w:rPr>
          <w:rStyle w:val="rvts14"/>
        </w:rPr>
        <w:t> - </w:t>
      </w:r>
      <w:r w:rsidRPr="00325988">
        <w:rPr>
          <w:rStyle w:val="rvts10"/>
          <w:color w:val="auto"/>
        </w:rPr>
        <w:t xml:space="preserve">Angajatorul trebuie </w:t>
      </w:r>
      <w:proofErr w:type="gramStart"/>
      <w:r w:rsidRPr="00325988">
        <w:rPr>
          <w:rStyle w:val="rvts10"/>
          <w:color w:val="auto"/>
        </w:rPr>
        <w:t>să</w:t>
      </w:r>
      <w:proofErr w:type="gramEnd"/>
      <w:r w:rsidRPr="00325988">
        <w:rPr>
          <w:rStyle w:val="rvts10"/>
          <w:color w:val="auto"/>
        </w:rPr>
        <w:t xml:space="preserve"> adapteze măsurile prevăzute în prezenta secţiune la nevoile lucrătorilor care aparţin grupurilor sensibile la riscuri specifice, în conformitate cu </w:t>
      </w:r>
      <w:hyperlink r:id="rId43" w:history="1">
        <w:r w:rsidRPr="00325988">
          <w:rPr>
            <w:rStyle w:val="Hyperlink"/>
            <w:color w:val="auto"/>
          </w:rPr>
          <w:t>art. 35</w:t>
        </w:r>
      </w:hyperlink>
      <w:r w:rsidRPr="00325988">
        <w:rPr>
          <w:rStyle w:val="rvts10"/>
          <w:color w:val="auto"/>
        </w:rPr>
        <w:t xml:space="preserve"> din Legea nr. </w:t>
      </w:r>
      <w:proofErr w:type="gramStart"/>
      <w:r w:rsidRPr="00325988">
        <w:rPr>
          <w:rStyle w:val="rvts10"/>
          <w:color w:val="auto"/>
        </w:rPr>
        <w:t>319/2006.</w:t>
      </w:r>
      <w:proofErr w:type="gramEnd"/>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27" w:name="1532244"/>
      <w:bookmarkEnd w:id="27"/>
      <w:r w:rsidRPr="00325988">
        <w:rPr>
          <w:rStyle w:val="rvts9"/>
        </w:rPr>
        <w:t>    </w:t>
      </w:r>
      <w:r w:rsidRPr="00325988">
        <w:rPr>
          <w:rStyle w:val="rvts12"/>
        </w:rPr>
        <w:t>Secţiunea a 3-</w:t>
      </w:r>
      <w:proofErr w:type="gramStart"/>
      <w:r w:rsidRPr="00325988">
        <w:rPr>
          <w:rStyle w:val="rvts12"/>
        </w:rPr>
        <w:t>a</w:t>
      </w:r>
      <w:proofErr w:type="gramEnd"/>
      <w:r w:rsidRPr="00325988">
        <w:rPr>
          <w:rStyle w:val="rvts10"/>
          <w:color w:val="auto"/>
        </w:rPr>
        <w:t>    </w:t>
      </w:r>
      <w:r w:rsidRPr="00325988">
        <w:rPr>
          <w:rStyle w:val="rvts13"/>
          <w:color w:val="auto"/>
        </w:rPr>
        <w:t>Informarea şi formarea lucrătorilor</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28" w:name="1532245"/>
      <w:bookmarkEnd w:id="28"/>
      <w:r w:rsidRPr="00325988">
        <w:rPr>
          <w:rStyle w:val="rvts9"/>
        </w:rPr>
        <w:t>    Art. 20</w:t>
      </w:r>
      <w:r w:rsidRPr="00325988">
        <w:rPr>
          <w:rStyle w:val="rvts14"/>
        </w:rPr>
        <w:t> - </w:t>
      </w:r>
      <w:r w:rsidRPr="00325988">
        <w:rPr>
          <w:rStyle w:val="rvts10"/>
          <w:color w:val="auto"/>
        </w:rPr>
        <w:t xml:space="preserve">Fără </w:t>
      </w:r>
      <w:proofErr w:type="gramStart"/>
      <w:r w:rsidRPr="00325988">
        <w:rPr>
          <w:rStyle w:val="rvts10"/>
          <w:color w:val="auto"/>
        </w:rPr>
        <w:t>a</w:t>
      </w:r>
      <w:proofErr w:type="gramEnd"/>
      <w:r w:rsidRPr="00325988">
        <w:rPr>
          <w:rStyle w:val="rvts10"/>
          <w:color w:val="auto"/>
        </w:rPr>
        <w:t xml:space="preserve"> aduce atingere </w:t>
      </w:r>
      <w:hyperlink r:id="rId44" w:history="1">
        <w:r w:rsidRPr="00325988">
          <w:rPr>
            <w:rStyle w:val="Hyperlink"/>
            <w:color w:val="auto"/>
          </w:rPr>
          <w:t xml:space="preserve">art. </w:t>
        </w:r>
        <w:proofErr w:type="gramStart"/>
        <w:r w:rsidRPr="00325988">
          <w:rPr>
            <w:rStyle w:val="Hyperlink"/>
            <w:color w:val="auto"/>
          </w:rPr>
          <w:t>16</w:t>
        </w:r>
      </w:hyperlink>
      <w:r w:rsidRPr="00325988">
        <w:rPr>
          <w:rStyle w:val="rvts10"/>
          <w:color w:val="auto"/>
        </w:rPr>
        <w:t>, 17, </w:t>
      </w:r>
      <w:hyperlink r:id="rId45" w:history="1">
        <w:r w:rsidRPr="00325988">
          <w:rPr>
            <w:rStyle w:val="Hyperlink"/>
            <w:color w:val="auto"/>
          </w:rPr>
          <w:t>20</w:t>
        </w:r>
      </w:hyperlink>
      <w:r w:rsidRPr="00325988">
        <w:rPr>
          <w:rStyle w:val="rvts10"/>
          <w:color w:val="auto"/>
        </w:rPr>
        <w:t> şi 21 din Legea nr.</w:t>
      </w:r>
      <w:proofErr w:type="gramEnd"/>
      <w:r w:rsidRPr="00325988">
        <w:rPr>
          <w:rStyle w:val="rvts10"/>
          <w:color w:val="auto"/>
        </w:rPr>
        <w:t xml:space="preserve"> 319/2006, angajatorul trebuie </w:t>
      </w:r>
      <w:proofErr w:type="gramStart"/>
      <w:r w:rsidRPr="00325988">
        <w:rPr>
          <w:rStyle w:val="rvts10"/>
          <w:color w:val="auto"/>
        </w:rPr>
        <w:t>să</w:t>
      </w:r>
      <w:proofErr w:type="gramEnd"/>
      <w:r w:rsidRPr="00325988">
        <w:rPr>
          <w:rStyle w:val="rvts10"/>
          <w:color w:val="auto"/>
        </w:rPr>
        <w:t xml:space="preserve"> asigure informarea şi formarea lucrătorilor expuşi la locul de muncă la riscuri generate de câmpuri electromagnetice şi/sau a reprezentanţilor acestor lucrători în raport cu rezultatele evaluării riscurilor, prevăzută la art. 7, în special în ceea </w:t>
      </w:r>
      <w:proofErr w:type="gramStart"/>
      <w:r w:rsidRPr="00325988">
        <w:rPr>
          <w:rStyle w:val="rvts10"/>
          <w:color w:val="auto"/>
        </w:rPr>
        <w:t>ce</w:t>
      </w:r>
      <w:proofErr w:type="gramEnd"/>
      <w:r w:rsidRPr="00325988">
        <w:rPr>
          <w:rStyle w:val="rvts10"/>
          <w:color w:val="auto"/>
        </w:rPr>
        <w:t xml:space="preserve"> priveşte următoarele:</w:t>
      </w:r>
    </w:p>
    <w:p w:rsidR="00CD5567" w:rsidRPr="00325988" w:rsidRDefault="00CD5567" w:rsidP="00325988">
      <w:pPr>
        <w:pStyle w:val="NormalWeb"/>
        <w:shd w:val="clear" w:color="auto" w:fill="FFFFFF"/>
        <w:jc w:val="both"/>
      </w:pPr>
      <w:r w:rsidRPr="00325988">
        <w:rPr>
          <w:rStyle w:val="rvts10"/>
          <w:color w:val="auto"/>
        </w:rPr>
        <w:t xml:space="preserve">    a) </w:t>
      </w:r>
      <w:proofErr w:type="gramStart"/>
      <w:r w:rsidRPr="00325988">
        <w:rPr>
          <w:rStyle w:val="rvts10"/>
          <w:color w:val="auto"/>
        </w:rPr>
        <w:t>măsurile</w:t>
      </w:r>
      <w:proofErr w:type="gramEnd"/>
      <w:r w:rsidRPr="00325988">
        <w:rPr>
          <w:rStyle w:val="rvts10"/>
          <w:color w:val="auto"/>
        </w:rPr>
        <w:t xml:space="preserve"> luate în aplicarea prezentei hotărâri;</w:t>
      </w:r>
    </w:p>
    <w:p w:rsidR="00CD5567" w:rsidRPr="00325988" w:rsidRDefault="00CD5567" w:rsidP="00325988">
      <w:pPr>
        <w:pStyle w:val="NormalWeb"/>
        <w:shd w:val="clear" w:color="auto" w:fill="FFFFFF"/>
        <w:jc w:val="both"/>
      </w:pPr>
      <w:r w:rsidRPr="00325988">
        <w:rPr>
          <w:rStyle w:val="rvts10"/>
          <w:color w:val="auto"/>
        </w:rPr>
        <w:t xml:space="preserve">    b) </w:t>
      </w:r>
      <w:proofErr w:type="gramStart"/>
      <w:r w:rsidRPr="00325988">
        <w:rPr>
          <w:rStyle w:val="rvts10"/>
          <w:color w:val="auto"/>
        </w:rPr>
        <w:t>valorile</w:t>
      </w:r>
      <w:proofErr w:type="gramEnd"/>
      <w:r w:rsidRPr="00325988">
        <w:rPr>
          <w:rStyle w:val="rvts10"/>
          <w:color w:val="auto"/>
        </w:rPr>
        <w:t xml:space="preserve"> şi conceptele referitoare la valorile limită de expunere şi la valorile de declanşare a acţiunii, precum şi potenţialele riscuri asociate;</w:t>
      </w:r>
    </w:p>
    <w:p w:rsidR="00CD5567" w:rsidRPr="00325988" w:rsidRDefault="00CD5567" w:rsidP="00325988">
      <w:pPr>
        <w:pStyle w:val="NormalWeb"/>
        <w:shd w:val="clear" w:color="auto" w:fill="FFFFFF"/>
        <w:jc w:val="both"/>
      </w:pPr>
      <w:r w:rsidRPr="00325988">
        <w:rPr>
          <w:rStyle w:val="rvts10"/>
          <w:color w:val="auto"/>
        </w:rPr>
        <w:t xml:space="preserve">    c) </w:t>
      </w:r>
      <w:proofErr w:type="gramStart"/>
      <w:r w:rsidRPr="00325988">
        <w:rPr>
          <w:rStyle w:val="rvts10"/>
          <w:color w:val="auto"/>
        </w:rPr>
        <w:t>rezultatele</w:t>
      </w:r>
      <w:proofErr w:type="gramEnd"/>
      <w:r w:rsidRPr="00325988">
        <w:rPr>
          <w:rStyle w:val="rvts10"/>
          <w:color w:val="auto"/>
        </w:rPr>
        <w:t xml:space="preserve"> evaluării, măsurării şi/sau calculelor privind nivelurile de expunere la câmpuri electromagnetice, efectuate în aplicarea art 7 - 13;</w:t>
      </w:r>
    </w:p>
    <w:p w:rsidR="00CD5567" w:rsidRPr="00325988" w:rsidRDefault="00CD5567" w:rsidP="00325988">
      <w:pPr>
        <w:pStyle w:val="NormalWeb"/>
        <w:shd w:val="clear" w:color="auto" w:fill="FFFFFF"/>
        <w:jc w:val="both"/>
      </w:pPr>
      <w:r w:rsidRPr="00325988">
        <w:rPr>
          <w:rStyle w:val="rvts10"/>
          <w:color w:val="auto"/>
        </w:rPr>
        <w:t xml:space="preserve">    d) </w:t>
      </w:r>
      <w:proofErr w:type="gramStart"/>
      <w:r w:rsidRPr="00325988">
        <w:rPr>
          <w:rStyle w:val="rvts10"/>
          <w:color w:val="auto"/>
        </w:rPr>
        <w:t>modul</w:t>
      </w:r>
      <w:proofErr w:type="gramEnd"/>
      <w:r w:rsidRPr="00325988">
        <w:rPr>
          <w:rStyle w:val="rvts10"/>
          <w:color w:val="auto"/>
        </w:rPr>
        <w:t xml:space="preserve"> de detectare a efectelor nocive ale expunerii asupra stării de sănătate şi modul de semnalare a acestora;</w:t>
      </w:r>
    </w:p>
    <w:p w:rsidR="00CD5567" w:rsidRPr="00325988" w:rsidRDefault="00CD5567" w:rsidP="00325988">
      <w:pPr>
        <w:pStyle w:val="NormalWeb"/>
        <w:shd w:val="clear" w:color="auto" w:fill="FFFFFF"/>
        <w:jc w:val="both"/>
      </w:pPr>
      <w:r w:rsidRPr="00325988">
        <w:rPr>
          <w:rStyle w:val="rvts10"/>
          <w:color w:val="auto"/>
        </w:rPr>
        <w:lastRenderedPageBreak/>
        <w:t xml:space="preserve">    e) </w:t>
      </w:r>
      <w:proofErr w:type="gramStart"/>
      <w:r w:rsidRPr="00325988">
        <w:rPr>
          <w:rStyle w:val="rvts10"/>
          <w:color w:val="auto"/>
        </w:rPr>
        <w:t>condiţiile</w:t>
      </w:r>
      <w:proofErr w:type="gramEnd"/>
      <w:r w:rsidRPr="00325988">
        <w:rPr>
          <w:rStyle w:val="rvts10"/>
          <w:color w:val="auto"/>
        </w:rPr>
        <w:t xml:space="preserve"> în care lucrătorii au dreptul la supravegherea stării de sănătate;</w:t>
      </w:r>
    </w:p>
    <w:p w:rsidR="00CD5567" w:rsidRPr="00325988" w:rsidRDefault="00CD5567" w:rsidP="00325988">
      <w:pPr>
        <w:pStyle w:val="NormalWeb"/>
        <w:shd w:val="clear" w:color="auto" w:fill="FFFFFF"/>
        <w:jc w:val="both"/>
      </w:pPr>
      <w:r w:rsidRPr="00325988">
        <w:rPr>
          <w:rStyle w:val="rvts10"/>
          <w:color w:val="auto"/>
        </w:rPr>
        <w:t xml:space="preserve">    f) </w:t>
      </w:r>
      <w:proofErr w:type="gramStart"/>
      <w:r w:rsidRPr="00325988">
        <w:rPr>
          <w:rStyle w:val="rvts10"/>
          <w:color w:val="auto"/>
        </w:rPr>
        <w:t>practicile</w:t>
      </w:r>
      <w:proofErr w:type="gramEnd"/>
      <w:r w:rsidRPr="00325988">
        <w:rPr>
          <w:rStyle w:val="rvts10"/>
          <w:color w:val="auto"/>
        </w:rPr>
        <w:t xml:space="preserve"> profesionale sigure, în scopul reducerii la minimum a riscurilor datorate expunerii.</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29" w:name="1532246"/>
      <w:bookmarkEnd w:id="29"/>
      <w:r w:rsidRPr="00325988">
        <w:rPr>
          <w:rStyle w:val="rvts9"/>
        </w:rPr>
        <w:t>    </w:t>
      </w:r>
      <w:r w:rsidRPr="00325988">
        <w:rPr>
          <w:rStyle w:val="rvts12"/>
        </w:rPr>
        <w:t>Secţiunea a 4-a</w:t>
      </w:r>
      <w:r w:rsidRPr="00325988">
        <w:rPr>
          <w:rStyle w:val="rvts10"/>
          <w:color w:val="auto"/>
        </w:rPr>
        <w:t>    </w:t>
      </w:r>
      <w:r w:rsidRPr="00325988">
        <w:rPr>
          <w:rStyle w:val="rvts13"/>
          <w:color w:val="auto"/>
        </w:rPr>
        <w:t>Consultarea şi participarea lucrătorilor</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30" w:name="1532247"/>
      <w:bookmarkEnd w:id="30"/>
      <w:r w:rsidRPr="00325988">
        <w:rPr>
          <w:rStyle w:val="rvts9"/>
        </w:rPr>
        <w:t>    Art. 21</w:t>
      </w:r>
      <w:r w:rsidRPr="00325988">
        <w:rPr>
          <w:rStyle w:val="rvts14"/>
        </w:rPr>
        <w:t> - </w:t>
      </w:r>
      <w:r w:rsidRPr="00325988">
        <w:rPr>
          <w:rStyle w:val="rvts10"/>
          <w:color w:val="auto"/>
        </w:rPr>
        <w:t xml:space="preserve">Consultarea şi participarea lucrătorilor şi/sau a reprezentanţilor acestora la aplicarea prevederilor prezentei hotărâri trebuie </w:t>
      </w:r>
      <w:proofErr w:type="gramStart"/>
      <w:r w:rsidRPr="00325988">
        <w:rPr>
          <w:rStyle w:val="rvts10"/>
          <w:color w:val="auto"/>
        </w:rPr>
        <w:t>să</w:t>
      </w:r>
      <w:proofErr w:type="gramEnd"/>
      <w:r w:rsidRPr="00325988">
        <w:rPr>
          <w:rStyle w:val="rvts10"/>
          <w:color w:val="auto"/>
        </w:rPr>
        <w:t xml:space="preserve"> se desfăşoare în conformitate cu </w:t>
      </w:r>
      <w:hyperlink r:id="rId46" w:history="1">
        <w:r w:rsidRPr="00325988">
          <w:rPr>
            <w:rStyle w:val="Hyperlink"/>
            <w:color w:val="auto"/>
          </w:rPr>
          <w:t>art. 18</w:t>
        </w:r>
      </w:hyperlink>
      <w:r w:rsidRPr="00325988">
        <w:rPr>
          <w:rStyle w:val="rvts10"/>
          <w:color w:val="auto"/>
        </w:rPr>
        <w:t xml:space="preserve"> din Legea nr. </w:t>
      </w:r>
      <w:proofErr w:type="gramStart"/>
      <w:r w:rsidRPr="00325988">
        <w:rPr>
          <w:rStyle w:val="rvts10"/>
          <w:color w:val="auto"/>
        </w:rPr>
        <w:t>319/2006.</w:t>
      </w:r>
      <w:proofErr w:type="gramEnd"/>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31" w:name="1532248"/>
      <w:bookmarkEnd w:id="31"/>
      <w:r w:rsidRPr="00325988">
        <w:rPr>
          <w:rStyle w:val="rvts9"/>
        </w:rPr>
        <w:t>    Cap. III</w:t>
      </w:r>
      <w:r w:rsidRPr="00325988">
        <w:rPr>
          <w:rStyle w:val="rvts10"/>
          <w:color w:val="auto"/>
        </w:rPr>
        <w:t>    </w:t>
      </w:r>
      <w:r w:rsidRPr="00325988">
        <w:rPr>
          <w:rStyle w:val="rvts11"/>
          <w:color w:val="auto"/>
        </w:rPr>
        <w:t>Supravegherea sănătăţii</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32" w:name="1532249"/>
      <w:bookmarkEnd w:id="32"/>
      <w:r w:rsidRPr="00325988">
        <w:rPr>
          <w:rStyle w:val="rvts9"/>
        </w:rPr>
        <w:t>    Art. 22</w:t>
      </w:r>
      <w:r w:rsidRPr="00325988">
        <w:rPr>
          <w:rStyle w:val="rvts14"/>
        </w:rPr>
        <w:t> - </w:t>
      </w:r>
      <w:r w:rsidRPr="00325988">
        <w:rPr>
          <w:rStyle w:val="rvts10"/>
          <w:color w:val="auto"/>
        </w:rPr>
        <w:t>În scopul prevenirii şi detectării cât mai rapid posibil a oricărui efect nociv asupra stării de sănătate care rezultă din expunerea la câmpuri electromagnetice, trebuie să se asigure o supraveghere adecvată a stării de sănătate a lucrătorilor, în conformitate cu prevederile </w:t>
      </w:r>
      <w:hyperlink r:id="rId47" w:history="1">
        <w:r w:rsidRPr="00325988">
          <w:rPr>
            <w:rStyle w:val="Hyperlink"/>
            <w:color w:val="auto"/>
          </w:rPr>
          <w:t xml:space="preserve">art. </w:t>
        </w:r>
        <w:proofErr w:type="gramStart"/>
        <w:r w:rsidRPr="00325988">
          <w:rPr>
            <w:rStyle w:val="Hyperlink"/>
            <w:color w:val="auto"/>
          </w:rPr>
          <w:t>24</w:t>
        </w:r>
      </w:hyperlink>
      <w:r w:rsidRPr="00325988">
        <w:rPr>
          <w:rStyle w:val="rvts10"/>
          <w:color w:val="auto"/>
        </w:rPr>
        <w:t> şi</w:t>
      </w:r>
      <w:proofErr w:type="gramEnd"/>
      <w:r w:rsidRPr="00325988">
        <w:rPr>
          <w:rStyle w:val="rvts10"/>
          <w:color w:val="auto"/>
        </w:rPr>
        <w:t> </w:t>
      </w:r>
      <w:hyperlink r:id="rId48" w:history="1">
        <w:r w:rsidRPr="00325988">
          <w:rPr>
            <w:rStyle w:val="Hyperlink"/>
            <w:color w:val="auto"/>
          </w:rPr>
          <w:t>25</w:t>
        </w:r>
      </w:hyperlink>
      <w:r w:rsidRPr="00325988">
        <w:rPr>
          <w:rStyle w:val="rvts10"/>
          <w:color w:val="auto"/>
        </w:rPr>
        <w:t xml:space="preserve"> din Legea nr. </w:t>
      </w:r>
      <w:proofErr w:type="gramStart"/>
      <w:r w:rsidRPr="00325988">
        <w:rPr>
          <w:rStyle w:val="rvts10"/>
          <w:color w:val="auto"/>
        </w:rPr>
        <w:t>319/2006.</w:t>
      </w:r>
      <w:proofErr w:type="gramEnd"/>
    </w:p>
    <w:p w:rsidR="00CD5567" w:rsidRPr="00325988" w:rsidRDefault="00CD5567" w:rsidP="00325988">
      <w:pPr>
        <w:pStyle w:val="NormalWeb"/>
        <w:shd w:val="clear" w:color="auto" w:fill="FFFFFF"/>
        <w:jc w:val="both"/>
      </w:pPr>
      <w:bookmarkStart w:id="33" w:name="1532250"/>
      <w:bookmarkEnd w:id="33"/>
      <w:r w:rsidRPr="00325988">
        <w:rPr>
          <w:rStyle w:val="rvts9"/>
        </w:rPr>
        <w:t>    Art. 23</w:t>
      </w:r>
      <w:r w:rsidRPr="00325988">
        <w:rPr>
          <w:rStyle w:val="rvts14"/>
        </w:rPr>
        <w:t> - </w:t>
      </w:r>
      <w:r w:rsidRPr="00325988">
        <w:rPr>
          <w:rStyle w:val="rvts10"/>
          <w:color w:val="auto"/>
        </w:rPr>
        <w:t xml:space="preserve">(1) În orice situaţie, atunci când se depistează o expunere la câmpuri electromagnetice care depăşeşte valorile limită, lucrătorul în cauză trebuie </w:t>
      </w:r>
      <w:proofErr w:type="gramStart"/>
      <w:r w:rsidRPr="00325988">
        <w:rPr>
          <w:rStyle w:val="rvts10"/>
          <w:color w:val="auto"/>
        </w:rPr>
        <w:t>să</w:t>
      </w:r>
      <w:proofErr w:type="gramEnd"/>
      <w:r w:rsidRPr="00325988">
        <w:rPr>
          <w:rStyle w:val="rvts10"/>
          <w:color w:val="auto"/>
        </w:rPr>
        <w:t xml:space="preserve"> fie supus unui examen medical.</w:t>
      </w:r>
    </w:p>
    <w:p w:rsidR="00CD5567" w:rsidRPr="00325988" w:rsidRDefault="00CD5567" w:rsidP="00325988">
      <w:pPr>
        <w:pStyle w:val="NormalWeb"/>
        <w:shd w:val="clear" w:color="auto" w:fill="FFFFFF"/>
        <w:jc w:val="both"/>
      </w:pPr>
      <w:r w:rsidRPr="00325988">
        <w:rPr>
          <w:rStyle w:val="rvts10"/>
          <w:color w:val="auto"/>
        </w:rPr>
        <w:t xml:space="preserve">    (2) Dacă se depistează o deteriorare a stării de sănătate a lucrătorului rezultată din expunerea la câmpuri electromagnetice care depăşeşte valorile limită, angajatorul trebuie </w:t>
      </w:r>
      <w:proofErr w:type="gramStart"/>
      <w:r w:rsidRPr="00325988">
        <w:rPr>
          <w:rStyle w:val="rvts10"/>
          <w:color w:val="auto"/>
        </w:rPr>
        <w:t>să</w:t>
      </w:r>
      <w:proofErr w:type="gramEnd"/>
      <w:r w:rsidRPr="00325988">
        <w:rPr>
          <w:rStyle w:val="rvts10"/>
          <w:color w:val="auto"/>
        </w:rPr>
        <w:t xml:space="preserve"> efectueze o reevaluare a riscurilor, potrivit prevederilor art. 7 - 13.</w:t>
      </w:r>
    </w:p>
    <w:p w:rsidR="00CD5567" w:rsidRPr="00325988" w:rsidRDefault="00CD5567" w:rsidP="00325988">
      <w:pPr>
        <w:pStyle w:val="NormalWeb"/>
        <w:shd w:val="clear" w:color="auto" w:fill="FFFFFF"/>
        <w:jc w:val="both"/>
      </w:pPr>
      <w:bookmarkStart w:id="34" w:name="1532251"/>
      <w:bookmarkEnd w:id="34"/>
      <w:r w:rsidRPr="00325988">
        <w:rPr>
          <w:rStyle w:val="rvts9"/>
        </w:rPr>
        <w:t>    Art. 24</w:t>
      </w:r>
      <w:r w:rsidRPr="00325988">
        <w:rPr>
          <w:rStyle w:val="rvts14"/>
        </w:rPr>
        <w:t> - </w:t>
      </w:r>
      <w:r w:rsidRPr="00325988">
        <w:rPr>
          <w:rStyle w:val="rvts10"/>
          <w:color w:val="auto"/>
        </w:rPr>
        <w:t xml:space="preserve">Angajatorul trebuie </w:t>
      </w:r>
      <w:proofErr w:type="gramStart"/>
      <w:r w:rsidRPr="00325988">
        <w:rPr>
          <w:rStyle w:val="rvts10"/>
          <w:color w:val="auto"/>
        </w:rPr>
        <w:t>să</w:t>
      </w:r>
      <w:proofErr w:type="gramEnd"/>
      <w:r w:rsidRPr="00325988">
        <w:rPr>
          <w:rStyle w:val="rvts10"/>
          <w:color w:val="auto"/>
        </w:rPr>
        <w:t xml:space="preserve"> ia măsurile necesare pentru a asigura accesul medicului de medicina muncii la rezultatele evaluării riscurilor prevăzute la art. 7 - 13.</w:t>
      </w:r>
    </w:p>
    <w:p w:rsidR="00CD5567" w:rsidRPr="00325988" w:rsidRDefault="00CD5567" w:rsidP="00325988">
      <w:pPr>
        <w:pStyle w:val="NormalWeb"/>
        <w:shd w:val="clear" w:color="auto" w:fill="FFFFFF"/>
        <w:jc w:val="both"/>
      </w:pPr>
      <w:bookmarkStart w:id="35" w:name="1532252"/>
      <w:bookmarkEnd w:id="35"/>
      <w:r w:rsidRPr="00325988">
        <w:rPr>
          <w:rStyle w:val="rvts9"/>
        </w:rPr>
        <w:t>    Art. 25</w:t>
      </w:r>
      <w:r w:rsidRPr="00325988">
        <w:rPr>
          <w:rStyle w:val="rvts14"/>
        </w:rPr>
        <w:t> - </w:t>
      </w:r>
      <w:r w:rsidRPr="00325988">
        <w:rPr>
          <w:rStyle w:val="rvts10"/>
          <w:color w:val="auto"/>
        </w:rPr>
        <w:t xml:space="preserve">Dosarele medicale cuprinzând rezultatele supravegherii medicale trebuie </w:t>
      </w:r>
      <w:proofErr w:type="gramStart"/>
      <w:r w:rsidRPr="00325988">
        <w:rPr>
          <w:rStyle w:val="rvts10"/>
          <w:color w:val="auto"/>
        </w:rPr>
        <w:t>să</w:t>
      </w:r>
      <w:proofErr w:type="gramEnd"/>
      <w:r w:rsidRPr="00325988">
        <w:rPr>
          <w:rStyle w:val="rvts10"/>
          <w:color w:val="auto"/>
        </w:rPr>
        <w:t xml:space="preserve"> fie păstrate într-o formă adecvată, astfel încât să poată fi consultate ulterior, cu respectarea secretului medical.</w:t>
      </w:r>
    </w:p>
    <w:p w:rsidR="00CD5567" w:rsidRPr="00325988" w:rsidRDefault="00CD5567" w:rsidP="00325988">
      <w:pPr>
        <w:pStyle w:val="NormalWeb"/>
        <w:shd w:val="clear" w:color="auto" w:fill="FFFFFF"/>
        <w:jc w:val="both"/>
      </w:pPr>
      <w:bookmarkStart w:id="36" w:name="1532253"/>
      <w:bookmarkEnd w:id="36"/>
      <w:r w:rsidRPr="00325988">
        <w:rPr>
          <w:rStyle w:val="rvts9"/>
        </w:rPr>
        <w:t>    Art. 26</w:t>
      </w:r>
      <w:r w:rsidRPr="00325988">
        <w:rPr>
          <w:rStyle w:val="rvts14"/>
        </w:rPr>
        <w:t> - </w:t>
      </w:r>
      <w:r w:rsidRPr="00325988">
        <w:rPr>
          <w:rStyle w:val="rvts10"/>
          <w:color w:val="auto"/>
        </w:rPr>
        <w:t>La cerere, lucrătorii au drept de acces la dosarele medicale personale.</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37" w:name="1532254"/>
      <w:bookmarkEnd w:id="37"/>
      <w:r w:rsidRPr="00325988">
        <w:rPr>
          <w:rStyle w:val="rvts9"/>
        </w:rPr>
        <w:t>    Cap. IV</w:t>
      </w:r>
      <w:r w:rsidRPr="00325988">
        <w:rPr>
          <w:rStyle w:val="rvts10"/>
          <w:color w:val="auto"/>
        </w:rPr>
        <w:t>    </w:t>
      </w:r>
      <w:r w:rsidRPr="00325988">
        <w:rPr>
          <w:rStyle w:val="rvts11"/>
          <w:color w:val="auto"/>
        </w:rPr>
        <w:t>Sancţiuni</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38" w:name="1532255"/>
      <w:bookmarkEnd w:id="38"/>
      <w:r w:rsidRPr="00325988">
        <w:rPr>
          <w:rStyle w:val="rvts9"/>
        </w:rPr>
        <w:t>    Art. 27</w:t>
      </w:r>
      <w:r w:rsidRPr="00325988">
        <w:rPr>
          <w:rStyle w:val="rvts14"/>
        </w:rPr>
        <w:t> - </w:t>
      </w:r>
      <w:r w:rsidRPr="00325988">
        <w:rPr>
          <w:rStyle w:val="rvts10"/>
          <w:color w:val="auto"/>
        </w:rPr>
        <w:t>(1) Constituie contravenţie şi se sancţionează cu amendă următoarele fapte:</w:t>
      </w:r>
    </w:p>
    <w:p w:rsidR="00CD5567" w:rsidRPr="00325988" w:rsidRDefault="00CD5567" w:rsidP="00325988">
      <w:pPr>
        <w:pStyle w:val="NormalWeb"/>
        <w:shd w:val="clear" w:color="auto" w:fill="FFFFFF"/>
        <w:jc w:val="both"/>
      </w:pPr>
      <w:r w:rsidRPr="00325988">
        <w:rPr>
          <w:rStyle w:val="rvts10"/>
          <w:color w:val="auto"/>
        </w:rPr>
        <w:t xml:space="preserve">    a) </w:t>
      </w:r>
      <w:proofErr w:type="gramStart"/>
      <w:r w:rsidRPr="00325988">
        <w:rPr>
          <w:rStyle w:val="rvts10"/>
          <w:color w:val="auto"/>
        </w:rPr>
        <w:t>încălcarea</w:t>
      </w:r>
      <w:proofErr w:type="gramEnd"/>
      <w:r w:rsidRPr="00325988">
        <w:rPr>
          <w:rStyle w:val="rvts10"/>
          <w:color w:val="auto"/>
        </w:rPr>
        <w:t xml:space="preserve"> dispoziţiilor art. </w:t>
      </w:r>
      <w:proofErr w:type="gramStart"/>
      <w:r w:rsidRPr="00325988">
        <w:rPr>
          <w:rStyle w:val="rvts10"/>
          <w:color w:val="auto"/>
        </w:rPr>
        <w:t>13 alin.</w:t>
      </w:r>
      <w:proofErr w:type="gramEnd"/>
      <w:r w:rsidRPr="00325988">
        <w:rPr>
          <w:rStyle w:val="rvts10"/>
          <w:color w:val="auto"/>
        </w:rPr>
        <w:t xml:space="preserve"> (1), art. 16 şi 17, cu amendă de la 5.000 lei la 10.000 lei;</w:t>
      </w:r>
    </w:p>
    <w:p w:rsidR="00CD5567" w:rsidRPr="00325988" w:rsidRDefault="00CD5567" w:rsidP="00325988">
      <w:pPr>
        <w:pStyle w:val="NormalWeb"/>
        <w:shd w:val="clear" w:color="auto" w:fill="FFFFFF"/>
        <w:jc w:val="both"/>
      </w:pPr>
      <w:r w:rsidRPr="00325988">
        <w:rPr>
          <w:rStyle w:val="rvts10"/>
          <w:color w:val="auto"/>
        </w:rPr>
        <w:t xml:space="preserve">    b) </w:t>
      </w:r>
      <w:proofErr w:type="gramStart"/>
      <w:r w:rsidRPr="00325988">
        <w:rPr>
          <w:rStyle w:val="rvts10"/>
          <w:color w:val="auto"/>
        </w:rPr>
        <w:t>nerespectarea</w:t>
      </w:r>
      <w:proofErr w:type="gramEnd"/>
      <w:r w:rsidRPr="00325988">
        <w:rPr>
          <w:rStyle w:val="rvts10"/>
          <w:color w:val="auto"/>
        </w:rPr>
        <w:t xml:space="preserve"> prevederilor art. </w:t>
      </w:r>
      <w:proofErr w:type="gramStart"/>
      <w:r w:rsidRPr="00325988">
        <w:rPr>
          <w:rStyle w:val="rvts10"/>
          <w:color w:val="auto"/>
        </w:rPr>
        <w:t>20, cu amendă de la 3.000 lei la 6.000 lei.</w:t>
      </w:r>
      <w:proofErr w:type="gramEnd"/>
    </w:p>
    <w:p w:rsidR="00CD5567" w:rsidRPr="00325988" w:rsidRDefault="00CD5567" w:rsidP="00325988">
      <w:pPr>
        <w:pStyle w:val="NormalWeb"/>
        <w:shd w:val="clear" w:color="auto" w:fill="FFFFFF"/>
        <w:jc w:val="both"/>
      </w:pPr>
      <w:r w:rsidRPr="00325988">
        <w:rPr>
          <w:rStyle w:val="rvts10"/>
          <w:color w:val="auto"/>
        </w:rPr>
        <w:t xml:space="preserve">    (2) Contravenţiilor prevăzute la alin. (1) </w:t>
      </w:r>
      <w:proofErr w:type="gramStart"/>
      <w:r w:rsidRPr="00325988">
        <w:rPr>
          <w:rStyle w:val="rvts10"/>
          <w:color w:val="auto"/>
        </w:rPr>
        <w:t>li</w:t>
      </w:r>
      <w:proofErr w:type="gramEnd"/>
      <w:r w:rsidRPr="00325988">
        <w:rPr>
          <w:rStyle w:val="rvts10"/>
          <w:color w:val="auto"/>
        </w:rPr>
        <w:t xml:space="preserve"> se aplică prevederile </w:t>
      </w:r>
      <w:hyperlink r:id="rId49" w:history="1">
        <w:r w:rsidRPr="00325988">
          <w:rPr>
            <w:rStyle w:val="Hyperlink"/>
            <w:color w:val="auto"/>
          </w:rPr>
          <w:t>Ordonan</w:t>
        </w:r>
      </w:hyperlink>
      <w:hyperlink r:id="rId50" w:history="1">
        <w:r w:rsidRPr="00325988">
          <w:rPr>
            <w:rStyle w:val="Hyperlink"/>
            <w:color w:val="auto"/>
          </w:rPr>
          <w:t>ţ</w:t>
        </w:r>
      </w:hyperlink>
      <w:hyperlink r:id="rId51" w:history="1">
        <w:r w:rsidRPr="00325988">
          <w:rPr>
            <w:rStyle w:val="Hyperlink"/>
            <w:color w:val="auto"/>
          </w:rPr>
          <w:t xml:space="preserve">ei Guvernului nr. </w:t>
        </w:r>
        <w:proofErr w:type="gramStart"/>
        <w:r w:rsidRPr="00325988">
          <w:rPr>
            <w:rStyle w:val="Hyperlink"/>
            <w:color w:val="auto"/>
          </w:rPr>
          <w:t>2/2001</w:t>
        </w:r>
      </w:hyperlink>
      <w:r w:rsidRPr="00325988">
        <w:rPr>
          <w:rStyle w:val="rvts10"/>
          <w:color w:val="auto"/>
        </w:rPr>
        <w:t> privind regimul juridic al contravenţiilor, aprobată cu modificări şi completări prin Legea nr.180/2002, cu modificările şi completările ulterioare.</w:t>
      </w:r>
      <w:proofErr w:type="gramEnd"/>
    </w:p>
    <w:p w:rsidR="00CD5567" w:rsidRPr="00325988" w:rsidRDefault="00CD5567" w:rsidP="00325988">
      <w:pPr>
        <w:pStyle w:val="NormalWeb"/>
        <w:shd w:val="clear" w:color="auto" w:fill="FFFFFF"/>
        <w:jc w:val="both"/>
      </w:pPr>
      <w:bookmarkStart w:id="39" w:name="1532256"/>
      <w:bookmarkEnd w:id="39"/>
      <w:r w:rsidRPr="00325988">
        <w:rPr>
          <w:rStyle w:val="rvts9"/>
        </w:rPr>
        <w:t>    Art. 28</w:t>
      </w:r>
      <w:r w:rsidRPr="00325988">
        <w:rPr>
          <w:rStyle w:val="rvts14"/>
        </w:rPr>
        <w:t> - </w:t>
      </w:r>
      <w:r w:rsidRPr="00325988">
        <w:rPr>
          <w:rStyle w:val="rvts10"/>
          <w:color w:val="auto"/>
        </w:rPr>
        <w:t xml:space="preserve">Constatarea contravenţiilor şi aplicarea amenzilor prevăzute la art. </w:t>
      </w:r>
      <w:proofErr w:type="gramStart"/>
      <w:r w:rsidRPr="00325988">
        <w:rPr>
          <w:rStyle w:val="rvts10"/>
          <w:color w:val="auto"/>
        </w:rPr>
        <w:t>27 alin.</w:t>
      </w:r>
      <w:proofErr w:type="gramEnd"/>
      <w:r w:rsidRPr="00325988">
        <w:rPr>
          <w:rStyle w:val="rvts10"/>
          <w:color w:val="auto"/>
        </w:rPr>
        <w:t xml:space="preserve"> (1) </w:t>
      </w:r>
      <w:proofErr w:type="gramStart"/>
      <w:r w:rsidRPr="00325988">
        <w:rPr>
          <w:rStyle w:val="rvts10"/>
          <w:color w:val="auto"/>
        </w:rPr>
        <w:t>se</w:t>
      </w:r>
      <w:proofErr w:type="gramEnd"/>
      <w:r w:rsidRPr="00325988">
        <w:rPr>
          <w:rStyle w:val="rvts10"/>
          <w:color w:val="auto"/>
        </w:rPr>
        <w:t xml:space="preserve"> fac de către inspectorii de muncă.</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40" w:name="1532257"/>
      <w:bookmarkEnd w:id="40"/>
      <w:r w:rsidRPr="00325988">
        <w:rPr>
          <w:rStyle w:val="rvts9"/>
        </w:rPr>
        <w:t>    Cap. V</w:t>
      </w:r>
      <w:r w:rsidRPr="00325988">
        <w:rPr>
          <w:rStyle w:val="rvts10"/>
          <w:color w:val="auto"/>
        </w:rPr>
        <w:t>    </w:t>
      </w:r>
      <w:r w:rsidRPr="00325988">
        <w:rPr>
          <w:rStyle w:val="rvts11"/>
          <w:color w:val="auto"/>
        </w:rPr>
        <w:t>Dispoziţii finale</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41" w:name="1532258"/>
      <w:bookmarkEnd w:id="41"/>
      <w:r w:rsidRPr="00325988">
        <w:rPr>
          <w:rStyle w:val="rvts9"/>
        </w:rPr>
        <w:t>    Art. 29</w:t>
      </w:r>
      <w:r w:rsidRPr="00325988">
        <w:rPr>
          <w:rStyle w:val="rvts14"/>
        </w:rPr>
        <w:t> - </w:t>
      </w:r>
      <w:r w:rsidRPr="00325988">
        <w:rPr>
          <w:rStyle w:val="rvts10"/>
          <w:color w:val="auto"/>
        </w:rPr>
        <w:t>Ministerul Muncii, Solidarităţii Sociale şi Familiei raportează Comisiei Europene, la fiecare 5 ani, cu privire la aplicarea dispoziţiilor prezentei hotărâri, indicând punctele de vedere ale partenerilor sociali.</w:t>
      </w:r>
    </w:p>
    <w:p w:rsidR="00CD5567" w:rsidRPr="00325988" w:rsidRDefault="00CD5567" w:rsidP="00325988">
      <w:pPr>
        <w:pStyle w:val="NormalWeb"/>
        <w:shd w:val="clear" w:color="auto" w:fill="FFFFFF"/>
        <w:jc w:val="both"/>
      </w:pPr>
      <w:bookmarkStart w:id="42" w:name="1532259"/>
      <w:bookmarkEnd w:id="42"/>
      <w:r w:rsidRPr="00325988">
        <w:rPr>
          <w:rStyle w:val="rvts9"/>
        </w:rPr>
        <w:t>    Art. 30</w:t>
      </w:r>
      <w:r w:rsidRPr="00325988">
        <w:rPr>
          <w:rStyle w:val="rvts14"/>
        </w:rPr>
        <w:t> - </w:t>
      </w:r>
      <w:r w:rsidRPr="00325988">
        <w:rPr>
          <w:rStyle w:val="rvts10"/>
          <w:color w:val="auto"/>
        </w:rPr>
        <w:t>Prezenta hotărâre intră în vigoare la data de 1 octombrie 2006.</w:t>
      </w:r>
    </w:p>
    <w:p w:rsidR="00CD5567" w:rsidRPr="00325988" w:rsidRDefault="00CD5567" w:rsidP="00325988">
      <w:pPr>
        <w:pStyle w:val="NormalWeb"/>
        <w:shd w:val="clear" w:color="auto" w:fill="FFFFFF"/>
        <w:jc w:val="both"/>
      </w:pPr>
    </w:p>
    <w:p w:rsidR="00CD5567" w:rsidRPr="00325988" w:rsidRDefault="00CD5567" w:rsidP="00325988">
      <w:pPr>
        <w:pStyle w:val="rvps1"/>
        <w:shd w:val="clear" w:color="auto" w:fill="FFFFFF"/>
        <w:jc w:val="both"/>
      </w:pPr>
      <w:r w:rsidRPr="00325988">
        <w:rPr>
          <w:rStyle w:val="rvts10"/>
          <w:color w:val="auto"/>
        </w:rPr>
        <w:t>*</w:t>
      </w: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bookmarkStart w:id="43" w:name="1532434"/>
      <w:bookmarkEnd w:id="43"/>
      <w:r w:rsidRPr="00325988">
        <w:rPr>
          <w:rStyle w:val="rvts10"/>
          <w:color w:val="auto"/>
        </w:rPr>
        <w:t xml:space="preserve">    Prezenta hotărâre transpune Directiva 2004/40/CE privind cerinţele minime de securitate şi sănătate referitoare la expunerea lucrătorilor la riscuri generate de agenţi fizici (câmpuri electromagnetice), publicată în Jurnalul Oficial al Comunităţilor Europene (JOCE) nr. </w:t>
      </w:r>
      <w:proofErr w:type="gramStart"/>
      <w:r w:rsidRPr="00325988">
        <w:rPr>
          <w:rStyle w:val="rvts10"/>
          <w:color w:val="auto"/>
        </w:rPr>
        <w:t>L 159/2004.</w:t>
      </w:r>
      <w:proofErr w:type="gramEnd"/>
    </w:p>
    <w:p w:rsidR="00CD5567" w:rsidRPr="00325988" w:rsidRDefault="00CD5567" w:rsidP="00325988">
      <w:pPr>
        <w:pStyle w:val="NormalWeb"/>
        <w:shd w:val="clear" w:color="auto" w:fill="FFFFFF"/>
        <w:jc w:val="both"/>
      </w:pPr>
    </w:p>
    <w:p w:rsidR="00CD5567" w:rsidRPr="00325988" w:rsidRDefault="00CD5567" w:rsidP="00325988">
      <w:pPr>
        <w:pStyle w:val="rvps1"/>
        <w:shd w:val="clear" w:color="auto" w:fill="FFFFFF"/>
        <w:jc w:val="both"/>
      </w:pPr>
      <w:bookmarkStart w:id="44" w:name="1532435"/>
      <w:bookmarkEnd w:id="44"/>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p>
    <w:p w:rsidR="00CD5567" w:rsidRPr="00325988" w:rsidRDefault="00CD5567" w:rsidP="00325988">
      <w:pPr>
        <w:pStyle w:val="NormalWeb"/>
        <w:shd w:val="clear" w:color="auto" w:fill="FFFFFF"/>
        <w:jc w:val="both"/>
      </w:pPr>
    </w:p>
    <w:sectPr w:rsidR="00CD5567" w:rsidRPr="00325988" w:rsidSect="00CD5567">
      <w:pgSz w:w="11909" w:h="16834" w:code="9"/>
      <w:pgMar w:top="1008" w:right="720"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GGConsulting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D5567"/>
    <w:rsid w:val="00282CAE"/>
    <w:rsid w:val="002B10C7"/>
    <w:rsid w:val="00325988"/>
    <w:rsid w:val="00393E39"/>
    <w:rsid w:val="00525737"/>
    <w:rsid w:val="009816DA"/>
    <w:rsid w:val="00CD5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567"/>
    <w:rPr>
      <w:color w:val="0000FF"/>
      <w:u w:val="single"/>
    </w:rPr>
  </w:style>
  <w:style w:type="paragraph" w:styleId="NormalWeb">
    <w:name w:val="Normal (Web)"/>
    <w:basedOn w:val="Normal"/>
    <w:uiPriority w:val="99"/>
    <w:semiHidden/>
    <w:unhideWhenUsed/>
    <w:rsid w:val="00CD5567"/>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CD5567"/>
    <w:pPr>
      <w:spacing w:after="0" w:line="240" w:lineRule="auto"/>
      <w:jc w:val="center"/>
    </w:pPr>
    <w:rPr>
      <w:rFonts w:ascii="Times New Roman" w:eastAsia="Times New Roman" w:hAnsi="Times New Roman" w:cs="Times New Roman"/>
      <w:sz w:val="24"/>
      <w:szCs w:val="24"/>
    </w:rPr>
  </w:style>
  <w:style w:type="character" w:customStyle="1" w:styleId="rvts7">
    <w:name w:val="rvts7"/>
    <w:basedOn w:val="DefaultParagraphFont"/>
    <w:rsid w:val="00CD5567"/>
    <w:rPr>
      <w:b/>
      <w:bCs/>
    </w:rPr>
  </w:style>
  <w:style w:type="character" w:customStyle="1" w:styleId="rvts8">
    <w:name w:val="rvts8"/>
    <w:basedOn w:val="DefaultParagraphFont"/>
    <w:rsid w:val="00CD5567"/>
    <w:rPr>
      <w:b/>
      <w:bCs/>
      <w:color w:val="231F20"/>
    </w:rPr>
  </w:style>
  <w:style w:type="character" w:customStyle="1" w:styleId="rvts9">
    <w:name w:val="rvts9"/>
    <w:basedOn w:val="DefaultParagraphFont"/>
    <w:rsid w:val="00CD5567"/>
    <w:rPr>
      <w:rFonts w:ascii="Times New Roman" w:hAnsi="Times New Roman" w:cs="Times New Roman" w:hint="default"/>
      <w:b/>
      <w:bCs/>
      <w:sz w:val="24"/>
      <w:szCs w:val="24"/>
    </w:rPr>
  </w:style>
  <w:style w:type="character" w:customStyle="1" w:styleId="rvts10">
    <w:name w:val="rvts10"/>
    <w:basedOn w:val="DefaultParagraphFont"/>
    <w:rsid w:val="00CD5567"/>
    <w:rPr>
      <w:rFonts w:ascii="Times New Roman" w:hAnsi="Times New Roman" w:cs="Times New Roman" w:hint="default"/>
      <w:color w:val="231F20"/>
      <w:sz w:val="24"/>
      <w:szCs w:val="24"/>
    </w:rPr>
  </w:style>
  <w:style w:type="character" w:customStyle="1" w:styleId="rvts11">
    <w:name w:val="rvts11"/>
    <w:basedOn w:val="DefaultParagraphFont"/>
    <w:rsid w:val="00CD5567"/>
    <w:rPr>
      <w:rFonts w:ascii="Times New Roman" w:hAnsi="Times New Roman" w:cs="Times New Roman" w:hint="default"/>
      <w:b/>
      <w:bCs/>
      <w:color w:val="231F20"/>
      <w:sz w:val="24"/>
      <w:szCs w:val="24"/>
    </w:rPr>
  </w:style>
  <w:style w:type="character" w:customStyle="1" w:styleId="rvts12">
    <w:name w:val="rvts12"/>
    <w:basedOn w:val="DefaultParagraphFont"/>
    <w:rsid w:val="00CD5567"/>
    <w:rPr>
      <w:rFonts w:ascii="Times New Roman" w:hAnsi="Times New Roman" w:cs="Times New Roman" w:hint="default"/>
      <w:b/>
      <w:bCs/>
      <w:i/>
      <w:iCs/>
      <w:sz w:val="24"/>
      <w:szCs w:val="24"/>
    </w:rPr>
  </w:style>
  <w:style w:type="character" w:customStyle="1" w:styleId="rvts13">
    <w:name w:val="rvts13"/>
    <w:basedOn w:val="DefaultParagraphFont"/>
    <w:rsid w:val="00CD5567"/>
    <w:rPr>
      <w:rFonts w:ascii="Times New Roman" w:hAnsi="Times New Roman" w:cs="Times New Roman" w:hint="default"/>
      <w:b/>
      <w:bCs/>
      <w:i/>
      <w:iCs/>
      <w:color w:val="231F20"/>
      <w:sz w:val="24"/>
      <w:szCs w:val="24"/>
    </w:rPr>
  </w:style>
  <w:style w:type="character" w:customStyle="1" w:styleId="rvts14">
    <w:name w:val="rvts14"/>
    <w:basedOn w:val="DefaultParagraphFont"/>
    <w:rsid w:val="00CD5567"/>
    <w:rPr>
      <w:rFonts w:ascii="Times New Roman" w:hAnsi="Times New Roman" w:cs="Times New Roman" w:hint="default"/>
      <w:sz w:val="24"/>
      <w:szCs w:val="24"/>
    </w:rPr>
  </w:style>
  <w:style w:type="character" w:customStyle="1" w:styleId="rvts15">
    <w:name w:val="rvts15"/>
    <w:basedOn w:val="DefaultParagraphFont"/>
    <w:rsid w:val="00CD5567"/>
    <w:rPr>
      <w:rFonts w:ascii="Times New Roman" w:hAnsi="Times New Roman" w:cs="Times New Roman" w:hint="default"/>
      <w:i/>
      <w:iCs/>
      <w:color w:val="231F20"/>
      <w:sz w:val="24"/>
      <w:szCs w:val="24"/>
    </w:rPr>
  </w:style>
  <w:style w:type="character" w:customStyle="1" w:styleId="rvts16">
    <w:name w:val="rvts16"/>
    <w:basedOn w:val="DefaultParagraphFont"/>
    <w:rsid w:val="00CD5567"/>
    <w:rPr>
      <w:rFonts w:ascii="Times New Roman" w:hAnsi="Times New Roman" w:cs="Times New Roman" w:hint="default"/>
      <w:i/>
      <w:iCs/>
      <w:color w:val="231F20"/>
      <w:sz w:val="16"/>
      <w:szCs w:val="16"/>
      <w:vertAlign w:val="subscript"/>
    </w:rPr>
  </w:style>
  <w:style w:type="character" w:customStyle="1" w:styleId="rvts17">
    <w:name w:val="rvts17"/>
    <w:basedOn w:val="DefaultParagraphFont"/>
    <w:rsid w:val="00CD5567"/>
    <w:rPr>
      <w:rFonts w:ascii="Times New Roman" w:hAnsi="Times New Roman" w:cs="Times New Roman" w:hint="default"/>
      <w:i/>
      <w:iCs/>
      <w:color w:val="231F20"/>
      <w:sz w:val="16"/>
      <w:szCs w:val="16"/>
      <w:vertAlign w:val="superscript"/>
    </w:rPr>
  </w:style>
  <w:style w:type="character" w:customStyle="1" w:styleId="rvts18">
    <w:name w:val="rvts18"/>
    <w:basedOn w:val="DefaultParagraphFont"/>
    <w:rsid w:val="00CD5567"/>
    <w:rPr>
      <w:rFonts w:ascii="Times New Roman" w:hAnsi="Times New Roman" w:cs="Times New Roman" w:hint="default"/>
      <w:color w:val="231F20"/>
      <w:sz w:val="16"/>
      <w:szCs w:val="16"/>
      <w:vertAlign w:val="superscript"/>
    </w:rPr>
  </w:style>
  <w:style w:type="character" w:customStyle="1" w:styleId="rvts19">
    <w:name w:val="rvts19"/>
    <w:basedOn w:val="DefaultParagraphFont"/>
    <w:rsid w:val="00CD5567"/>
    <w:rPr>
      <w:rFonts w:ascii="Courier New" w:hAnsi="Courier New" w:cs="Courier New" w:hint="default"/>
      <w:color w:val="231F20"/>
    </w:rPr>
  </w:style>
  <w:style w:type="character" w:customStyle="1" w:styleId="rvts20">
    <w:name w:val="rvts20"/>
    <w:basedOn w:val="DefaultParagraphFont"/>
    <w:rsid w:val="00CD5567"/>
    <w:rPr>
      <w:rFonts w:ascii="Courier New" w:hAnsi="Courier New" w:cs="Courier New" w:hint="default"/>
      <w:b/>
      <w:bCs/>
      <w:color w:val="231F20"/>
    </w:rPr>
  </w:style>
  <w:style w:type="character" w:customStyle="1" w:styleId="rvts21">
    <w:name w:val="rvts21"/>
    <w:basedOn w:val="DefaultParagraphFont"/>
    <w:rsid w:val="00CD5567"/>
    <w:rPr>
      <w:rFonts w:ascii="GGConsultingFont" w:hAnsi="GGConsultingFont" w:hint="default"/>
    </w:rPr>
  </w:style>
  <w:style w:type="character" w:customStyle="1" w:styleId="rvts22">
    <w:name w:val="rvts22"/>
    <w:basedOn w:val="DefaultParagraphFont"/>
    <w:rsid w:val="00CD5567"/>
    <w:rPr>
      <w:rFonts w:ascii="Times New Roman" w:hAnsi="Times New Roman" w:cs="Times New Roman" w:hint="default"/>
      <w:color w:val="231F20"/>
      <w:sz w:val="16"/>
      <w:szCs w:val="16"/>
      <w:vertAlign w:val="subscript"/>
    </w:rPr>
  </w:style>
  <w:style w:type="character" w:customStyle="1" w:styleId="rvts23">
    <w:name w:val="rvts23"/>
    <w:basedOn w:val="DefaultParagraphFont"/>
    <w:rsid w:val="00CD5567"/>
    <w:rPr>
      <w:rFonts w:ascii="Courier New" w:hAnsi="Courier New" w:cs="Courier New" w:hint="default"/>
      <w:color w:val="231F20"/>
      <w:sz w:val="14"/>
      <w:szCs w:val="14"/>
      <w:vertAlign w:val="subscript"/>
    </w:rPr>
  </w:style>
  <w:style w:type="character" w:customStyle="1" w:styleId="rvts24">
    <w:name w:val="rvts24"/>
    <w:basedOn w:val="DefaultParagraphFont"/>
    <w:rsid w:val="00CD5567"/>
    <w:rPr>
      <w:rFonts w:ascii="Courier New" w:hAnsi="Courier New" w:cs="Courier New" w:hint="default"/>
      <w:color w:val="231F20"/>
      <w:sz w:val="14"/>
      <w:szCs w:val="1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567"/>
    <w:rPr>
      <w:color w:val="0000FF"/>
      <w:u w:val="single"/>
    </w:rPr>
  </w:style>
  <w:style w:type="paragraph" w:styleId="NormalWeb">
    <w:name w:val="Normal (Web)"/>
    <w:basedOn w:val="Normal"/>
    <w:uiPriority w:val="99"/>
    <w:semiHidden/>
    <w:unhideWhenUsed/>
    <w:rsid w:val="00CD5567"/>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CD5567"/>
    <w:pPr>
      <w:spacing w:after="0" w:line="240" w:lineRule="auto"/>
      <w:jc w:val="center"/>
    </w:pPr>
    <w:rPr>
      <w:rFonts w:ascii="Times New Roman" w:eastAsia="Times New Roman" w:hAnsi="Times New Roman" w:cs="Times New Roman"/>
      <w:sz w:val="24"/>
      <w:szCs w:val="24"/>
    </w:rPr>
  </w:style>
  <w:style w:type="character" w:customStyle="1" w:styleId="rvts7">
    <w:name w:val="rvts7"/>
    <w:basedOn w:val="DefaultParagraphFont"/>
    <w:rsid w:val="00CD5567"/>
    <w:rPr>
      <w:b/>
      <w:bCs/>
    </w:rPr>
  </w:style>
  <w:style w:type="character" w:customStyle="1" w:styleId="rvts8">
    <w:name w:val="rvts8"/>
    <w:basedOn w:val="DefaultParagraphFont"/>
    <w:rsid w:val="00CD5567"/>
    <w:rPr>
      <w:b/>
      <w:bCs/>
      <w:color w:val="231F20"/>
    </w:rPr>
  </w:style>
  <w:style w:type="character" w:customStyle="1" w:styleId="rvts9">
    <w:name w:val="rvts9"/>
    <w:basedOn w:val="DefaultParagraphFont"/>
    <w:rsid w:val="00CD5567"/>
    <w:rPr>
      <w:rFonts w:ascii="Times New Roman" w:hAnsi="Times New Roman" w:cs="Times New Roman" w:hint="default"/>
      <w:b/>
      <w:bCs/>
      <w:sz w:val="24"/>
      <w:szCs w:val="24"/>
    </w:rPr>
  </w:style>
  <w:style w:type="character" w:customStyle="1" w:styleId="rvts10">
    <w:name w:val="rvts10"/>
    <w:basedOn w:val="DefaultParagraphFont"/>
    <w:rsid w:val="00CD5567"/>
    <w:rPr>
      <w:rFonts w:ascii="Times New Roman" w:hAnsi="Times New Roman" w:cs="Times New Roman" w:hint="default"/>
      <w:color w:val="231F20"/>
      <w:sz w:val="24"/>
      <w:szCs w:val="24"/>
    </w:rPr>
  </w:style>
  <w:style w:type="character" w:customStyle="1" w:styleId="rvts11">
    <w:name w:val="rvts11"/>
    <w:basedOn w:val="DefaultParagraphFont"/>
    <w:rsid w:val="00CD5567"/>
    <w:rPr>
      <w:rFonts w:ascii="Times New Roman" w:hAnsi="Times New Roman" w:cs="Times New Roman" w:hint="default"/>
      <w:b/>
      <w:bCs/>
      <w:color w:val="231F20"/>
      <w:sz w:val="24"/>
      <w:szCs w:val="24"/>
    </w:rPr>
  </w:style>
  <w:style w:type="character" w:customStyle="1" w:styleId="rvts12">
    <w:name w:val="rvts12"/>
    <w:basedOn w:val="DefaultParagraphFont"/>
    <w:rsid w:val="00CD5567"/>
    <w:rPr>
      <w:rFonts w:ascii="Times New Roman" w:hAnsi="Times New Roman" w:cs="Times New Roman" w:hint="default"/>
      <w:b/>
      <w:bCs/>
      <w:i/>
      <w:iCs/>
      <w:sz w:val="24"/>
      <w:szCs w:val="24"/>
    </w:rPr>
  </w:style>
  <w:style w:type="character" w:customStyle="1" w:styleId="rvts13">
    <w:name w:val="rvts13"/>
    <w:basedOn w:val="DefaultParagraphFont"/>
    <w:rsid w:val="00CD5567"/>
    <w:rPr>
      <w:rFonts w:ascii="Times New Roman" w:hAnsi="Times New Roman" w:cs="Times New Roman" w:hint="default"/>
      <w:b/>
      <w:bCs/>
      <w:i/>
      <w:iCs/>
      <w:color w:val="231F20"/>
      <w:sz w:val="24"/>
      <w:szCs w:val="24"/>
    </w:rPr>
  </w:style>
  <w:style w:type="character" w:customStyle="1" w:styleId="rvts14">
    <w:name w:val="rvts14"/>
    <w:basedOn w:val="DefaultParagraphFont"/>
    <w:rsid w:val="00CD5567"/>
    <w:rPr>
      <w:rFonts w:ascii="Times New Roman" w:hAnsi="Times New Roman" w:cs="Times New Roman" w:hint="default"/>
      <w:sz w:val="24"/>
      <w:szCs w:val="24"/>
    </w:rPr>
  </w:style>
  <w:style w:type="character" w:customStyle="1" w:styleId="rvts15">
    <w:name w:val="rvts15"/>
    <w:basedOn w:val="DefaultParagraphFont"/>
    <w:rsid w:val="00CD5567"/>
    <w:rPr>
      <w:rFonts w:ascii="Times New Roman" w:hAnsi="Times New Roman" w:cs="Times New Roman" w:hint="default"/>
      <w:i/>
      <w:iCs/>
      <w:color w:val="231F20"/>
      <w:sz w:val="24"/>
      <w:szCs w:val="24"/>
    </w:rPr>
  </w:style>
  <w:style w:type="character" w:customStyle="1" w:styleId="rvts16">
    <w:name w:val="rvts16"/>
    <w:basedOn w:val="DefaultParagraphFont"/>
    <w:rsid w:val="00CD5567"/>
    <w:rPr>
      <w:rFonts w:ascii="Times New Roman" w:hAnsi="Times New Roman" w:cs="Times New Roman" w:hint="default"/>
      <w:i/>
      <w:iCs/>
      <w:color w:val="231F20"/>
      <w:sz w:val="16"/>
      <w:szCs w:val="16"/>
      <w:vertAlign w:val="subscript"/>
    </w:rPr>
  </w:style>
  <w:style w:type="character" w:customStyle="1" w:styleId="rvts17">
    <w:name w:val="rvts17"/>
    <w:basedOn w:val="DefaultParagraphFont"/>
    <w:rsid w:val="00CD5567"/>
    <w:rPr>
      <w:rFonts w:ascii="Times New Roman" w:hAnsi="Times New Roman" w:cs="Times New Roman" w:hint="default"/>
      <w:i/>
      <w:iCs/>
      <w:color w:val="231F20"/>
      <w:sz w:val="16"/>
      <w:szCs w:val="16"/>
      <w:vertAlign w:val="superscript"/>
    </w:rPr>
  </w:style>
  <w:style w:type="character" w:customStyle="1" w:styleId="rvts18">
    <w:name w:val="rvts18"/>
    <w:basedOn w:val="DefaultParagraphFont"/>
    <w:rsid w:val="00CD5567"/>
    <w:rPr>
      <w:rFonts w:ascii="Times New Roman" w:hAnsi="Times New Roman" w:cs="Times New Roman" w:hint="default"/>
      <w:color w:val="231F20"/>
      <w:sz w:val="16"/>
      <w:szCs w:val="16"/>
      <w:vertAlign w:val="superscript"/>
    </w:rPr>
  </w:style>
  <w:style w:type="character" w:customStyle="1" w:styleId="rvts19">
    <w:name w:val="rvts19"/>
    <w:basedOn w:val="DefaultParagraphFont"/>
    <w:rsid w:val="00CD5567"/>
    <w:rPr>
      <w:rFonts w:ascii="Courier New" w:hAnsi="Courier New" w:cs="Courier New" w:hint="default"/>
      <w:color w:val="231F20"/>
    </w:rPr>
  </w:style>
  <w:style w:type="character" w:customStyle="1" w:styleId="rvts20">
    <w:name w:val="rvts20"/>
    <w:basedOn w:val="DefaultParagraphFont"/>
    <w:rsid w:val="00CD5567"/>
    <w:rPr>
      <w:rFonts w:ascii="Courier New" w:hAnsi="Courier New" w:cs="Courier New" w:hint="default"/>
      <w:b/>
      <w:bCs/>
      <w:color w:val="231F20"/>
    </w:rPr>
  </w:style>
  <w:style w:type="character" w:customStyle="1" w:styleId="rvts21">
    <w:name w:val="rvts21"/>
    <w:basedOn w:val="DefaultParagraphFont"/>
    <w:rsid w:val="00CD5567"/>
    <w:rPr>
      <w:rFonts w:ascii="GGConsultingFont" w:hAnsi="GGConsultingFont" w:hint="default"/>
    </w:rPr>
  </w:style>
  <w:style w:type="character" w:customStyle="1" w:styleId="rvts22">
    <w:name w:val="rvts22"/>
    <w:basedOn w:val="DefaultParagraphFont"/>
    <w:rsid w:val="00CD5567"/>
    <w:rPr>
      <w:rFonts w:ascii="Times New Roman" w:hAnsi="Times New Roman" w:cs="Times New Roman" w:hint="default"/>
      <w:color w:val="231F20"/>
      <w:sz w:val="16"/>
      <w:szCs w:val="16"/>
      <w:vertAlign w:val="subscript"/>
    </w:rPr>
  </w:style>
  <w:style w:type="character" w:customStyle="1" w:styleId="rvts23">
    <w:name w:val="rvts23"/>
    <w:basedOn w:val="DefaultParagraphFont"/>
    <w:rsid w:val="00CD5567"/>
    <w:rPr>
      <w:rFonts w:ascii="Courier New" w:hAnsi="Courier New" w:cs="Courier New" w:hint="default"/>
      <w:color w:val="231F20"/>
      <w:sz w:val="14"/>
      <w:szCs w:val="14"/>
      <w:vertAlign w:val="subscript"/>
    </w:rPr>
  </w:style>
  <w:style w:type="character" w:customStyle="1" w:styleId="rvts24">
    <w:name w:val="rvts24"/>
    <w:basedOn w:val="DefaultParagraphFont"/>
    <w:rsid w:val="00CD5567"/>
    <w:rPr>
      <w:rFonts w:ascii="Courier New" w:hAnsi="Courier New" w:cs="Courier New" w:hint="default"/>
      <w:color w:val="231F20"/>
      <w:sz w:val="14"/>
      <w:szCs w:val="14"/>
      <w:vertAlign w:val="superscript"/>
    </w:rPr>
  </w:style>
</w:styles>
</file>

<file path=word/webSettings.xml><?xml version="1.0" encoding="utf-8"?>
<w:webSettings xmlns:r="http://schemas.openxmlformats.org/officeDocument/2006/relationships" xmlns:w="http://schemas.openxmlformats.org/wordprocessingml/2006/main">
  <w:divs>
    <w:div w:id="1329600864">
      <w:bodyDiv w:val="1"/>
      <w:marLeft w:val="0"/>
      <w:marRight w:val="0"/>
      <w:marTop w:val="0"/>
      <w:marBottom w:val="0"/>
      <w:divBdr>
        <w:top w:val="none" w:sz="0" w:space="0" w:color="auto"/>
        <w:left w:val="none" w:sz="0" w:space="0" w:color="auto"/>
        <w:bottom w:val="none" w:sz="0" w:space="0" w:color="auto"/>
        <w:right w:val="none" w:sz="0" w:space="0" w:color="auto"/>
      </w:divBdr>
      <w:divsChild>
        <w:div w:id="1336029690">
          <w:marLeft w:val="0"/>
          <w:marRight w:val="0"/>
          <w:marTop w:val="0"/>
          <w:marBottom w:val="0"/>
          <w:divBdr>
            <w:top w:val="none" w:sz="0" w:space="0" w:color="auto"/>
            <w:left w:val="none" w:sz="0" w:space="0" w:color="auto"/>
            <w:bottom w:val="none" w:sz="0" w:space="0" w:color="auto"/>
            <w:right w:val="none" w:sz="0" w:space="0" w:color="auto"/>
          </w:divBdr>
          <w:divsChild>
            <w:div w:id="4978857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DocumentView(80849,%201501080);" TargetMode="External"/><Relationship Id="rId18" Type="http://schemas.openxmlformats.org/officeDocument/2006/relationships/hyperlink" Target="javascript:OpenDocumentView(80849,%201501080);" TargetMode="External"/><Relationship Id="rId26" Type="http://schemas.openxmlformats.org/officeDocument/2006/relationships/hyperlink" Target="javascript:OpenDocumentView(26369,%20406685);" TargetMode="External"/><Relationship Id="rId39" Type="http://schemas.openxmlformats.org/officeDocument/2006/relationships/hyperlink" Target="javascript:OpenDocumentView(81269,%201513438);" TargetMode="External"/><Relationship Id="rId3" Type="http://schemas.openxmlformats.org/officeDocument/2006/relationships/webSettings" Target="webSettings.xml"/><Relationship Id="rId21" Type="http://schemas.openxmlformats.org/officeDocument/2006/relationships/hyperlink" Target="javascript:OpenDocumentView(26369,%20406685);" TargetMode="External"/><Relationship Id="rId34" Type="http://schemas.openxmlformats.org/officeDocument/2006/relationships/hyperlink" Target="javascript:OpenDocumentView(80849,%201501099);" TargetMode="External"/><Relationship Id="rId42" Type="http://schemas.openxmlformats.org/officeDocument/2006/relationships/hyperlink" Target="javascript:OpenDocumentView(81269,%201513438);" TargetMode="External"/><Relationship Id="rId47" Type="http://schemas.openxmlformats.org/officeDocument/2006/relationships/hyperlink" Target="javascript:OpenDocumentView(80849,%201501116);" TargetMode="External"/><Relationship Id="rId50" Type="http://schemas.openxmlformats.org/officeDocument/2006/relationships/hyperlink" Target="javascript:OpenDocumentView(80996,%201504813);" TargetMode="External"/><Relationship Id="rId7" Type="http://schemas.openxmlformats.org/officeDocument/2006/relationships/hyperlink" Target="javascript:OpenDocumentView(80849,%201501080);" TargetMode="External"/><Relationship Id="rId12" Type="http://schemas.openxmlformats.org/officeDocument/2006/relationships/hyperlink" Target="javascript:OpenDocumentView(80849,%201501080);" TargetMode="External"/><Relationship Id="rId17" Type="http://schemas.openxmlformats.org/officeDocument/2006/relationships/hyperlink" Target="javascript:OpenDocumentView(80849,%201501080);" TargetMode="External"/><Relationship Id="rId25" Type="http://schemas.openxmlformats.org/officeDocument/2006/relationships/hyperlink" Target="javascript:OpenDocumentView(26369,%20406685);" TargetMode="External"/><Relationship Id="rId33" Type="http://schemas.openxmlformats.org/officeDocument/2006/relationships/hyperlink" Target="javascript:OpenDocumentView(80849,%201501091);" TargetMode="External"/><Relationship Id="rId38" Type="http://schemas.openxmlformats.org/officeDocument/2006/relationships/hyperlink" Target="javascript:OpenDocumentView(81269,%201513438);" TargetMode="External"/><Relationship Id="rId46" Type="http://schemas.openxmlformats.org/officeDocument/2006/relationships/hyperlink" Target="javascript:OpenDocumentView(80849,%201501107);" TargetMode="External"/><Relationship Id="rId2" Type="http://schemas.openxmlformats.org/officeDocument/2006/relationships/settings" Target="settings.xml"/><Relationship Id="rId16" Type="http://schemas.openxmlformats.org/officeDocument/2006/relationships/hyperlink" Target="javascript:OpenDocumentView(80849,%201501080);" TargetMode="External"/><Relationship Id="rId20" Type="http://schemas.openxmlformats.org/officeDocument/2006/relationships/hyperlink" Target="javascript:OpenDocumentView(80849,%201501099);" TargetMode="External"/><Relationship Id="rId29" Type="http://schemas.openxmlformats.org/officeDocument/2006/relationships/hyperlink" Target="javascript:OpenDocumentView(26369,%20406685);" TargetMode="External"/><Relationship Id="rId41" Type="http://schemas.openxmlformats.org/officeDocument/2006/relationships/hyperlink" Target="javascript:OpenDocumentView(81269,%201513438);" TargetMode="External"/><Relationship Id="rId54"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OpenDocumentView(80849,%201501080);" TargetMode="External"/><Relationship Id="rId11" Type="http://schemas.openxmlformats.org/officeDocument/2006/relationships/hyperlink" Target="javascript:OpenDocumentView(80849,%201501080);" TargetMode="External"/><Relationship Id="rId24" Type="http://schemas.openxmlformats.org/officeDocument/2006/relationships/hyperlink" Target="javascript:OpenDocumentView(26369,%20406685);" TargetMode="External"/><Relationship Id="rId32" Type="http://schemas.openxmlformats.org/officeDocument/2006/relationships/hyperlink" Target="javascript:OpenDocumentView(80849,%201501107);" TargetMode="External"/><Relationship Id="rId37" Type="http://schemas.openxmlformats.org/officeDocument/2006/relationships/hyperlink" Target="javascript:OpenDocumentView(80849,%201501080);" TargetMode="External"/><Relationship Id="rId40" Type="http://schemas.openxmlformats.org/officeDocument/2006/relationships/hyperlink" Target="javascript:OpenDocumentView(81269,%201513438);" TargetMode="External"/><Relationship Id="rId45" Type="http://schemas.openxmlformats.org/officeDocument/2006/relationships/hyperlink" Target="javascript:OpenDocumentView(80849,%201501110);" TargetMode="External"/><Relationship Id="rId53" Type="http://schemas.openxmlformats.org/officeDocument/2006/relationships/theme" Target="theme/theme1.xml"/><Relationship Id="rId5" Type="http://schemas.openxmlformats.org/officeDocument/2006/relationships/hyperlink" Target="javascript:OpenDocumentView(80849,%201501080);" TargetMode="External"/><Relationship Id="rId15" Type="http://schemas.openxmlformats.org/officeDocument/2006/relationships/hyperlink" Target="javascript:OpenDocumentView(80849,%201501080);" TargetMode="External"/><Relationship Id="rId23" Type="http://schemas.openxmlformats.org/officeDocument/2006/relationships/hyperlink" Target="javascript:OpenDocumentView(26369,%20406685);" TargetMode="External"/><Relationship Id="rId28" Type="http://schemas.openxmlformats.org/officeDocument/2006/relationships/hyperlink" Target="javascript:OpenDocumentView(26369,%20406685);" TargetMode="External"/><Relationship Id="rId36" Type="http://schemas.openxmlformats.org/officeDocument/2006/relationships/hyperlink" Target="javascript:OpenDocumentView(80849,%201501110);" TargetMode="External"/><Relationship Id="rId49" Type="http://schemas.openxmlformats.org/officeDocument/2006/relationships/hyperlink" Target="javascript:OpenDocumentView(80996,%201504813);" TargetMode="External"/><Relationship Id="rId10" Type="http://schemas.openxmlformats.org/officeDocument/2006/relationships/hyperlink" Target="javascript:OpenDocumentView(80849,%201501080);" TargetMode="External"/><Relationship Id="rId19" Type="http://schemas.openxmlformats.org/officeDocument/2006/relationships/hyperlink" Target="javascript:OpenDocumentView(80849,%201501091);" TargetMode="External"/><Relationship Id="rId31" Type="http://schemas.openxmlformats.org/officeDocument/2006/relationships/hyperlink" Target="javascript:OpenDocumentView(80849,%201501094);" TargetMode="External"/><Relationship Id="rId44" Type="http://schemas.openxmlformats.org/officeDocument/2006/relationships/hyperlink" Target="javascript:OpenDocumentView(80849,%201501104);" TargetMode="External"/><Relationship Id="rId52" Type="http://schemas.openxmlformats.org/officeDocument/2006/relationships/fontTable" Target="fontTable.xml"/><Relationship Id="rId4" Type="http://schemas.openxmlformats.org/officeDocument/2006/relationships/hyperlink" Target="javascript:OpenDocumentView(80849,%201501080);" TargetMode="External"/><Relationship Id="rId9" Type="http://schemas.openxmlformats.org/officeDocument/2006/relationships/hyperlink" Target="javascript:OpenDocumentView(80849,%201501080);" TargetMode="External"/><Relationship Id="rId14" Type="http://schemas.openxmlformats.org/officeDocument/2006/relationships/hyperlink" Target="javascript:OpenDocumentView(80849,%201501080);" TargetMode="External"/><Relationship Id="rId22" Type="http://schemas.openxmlformats.org/officeDocument/2006/relationships/hyperlink" Target="javascript:OpenDocumentView(26369,%20406685);" TargetMode="External"/><Relationship Id="rId27" Type="http://schemas.openxmlformats.org/officeDocument/2006/relationships/hyperlink" Target="javascript:OpenDocumentView(26369,%20406685);" TargetMode="External"/><Relationship Id="rId30" Type="http://schemas.openxmlformats.org/officeDocument/2006/relationships/hyperlink" Target="javascript:OpenDocumentView(80849,%201501093);" TargetMode="External"/><Relationship Id="rId35" Type="http://schemas.openxmlformats.org/officeDocument/2006/relationships/hyperlink" Target="javascript:OpenDocumentView(80849,%201501101);" TargetMode="External"/><Relationship Id="rId43" Type="http://schemas.openxmlformats.org/officeDocument/2006/relationships/hyperlink" Target="javascript:OpenDocumentView(80849,%201501132);" TargetMode="External"/><Relationship Id="rId48" Type="http://schemas.openxmlformats.org/officeDocument/2006/relationships/hyperlink" Target="javascript:OpenDocumentView(80849,%201501117);" TargetMode="External"/><Relationship Id="rId8" Type="http://schemas.openxmlformats.org/officeDocument/2006/relationships/hyperlink" Target="javascript:OpenDocumentView(80849,%201501080);" TargetMode="External"/><Relationship Id="rId51" Type="http://schemas.openxmlformats.org/officeDocument/2006/relationships/hyperlink" Target="javascript:OpenDocumentView(80996,%201504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Banca Romaneasca S.A.</Company>
  <LinksUpToDate>false</LinksUpToDate>
  <CharactersWithSpaces>17875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Cristina</dc:creator>
  <cp:keywords/>
  <dc:description/>
  <cp:lastModifiedBy>FS</cp:lastModifiedBy>
  <cp:revision>4</cp:revision>
  <dcterms:created xsi:type="dcterms:W3CDTF">2012-05-29T09:01:00Z</dcterms:created>
  <dcterms:modified xsi:type="dcterms:W3CDTF">2012-10-19T17:06:00Z</dcterms:modified>
</cp:coreProperties>
</file>